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6"/>
        <w:gridCol w:w="1920"/>
        <w:gridCol w:w="890"/>
        <w:gridCol w:w="2320"/>
        <w:gridCol w:w="1282"/>
      </w:tblGrid>
      <w:tr w:rsidR="00000000" w14:paraId="5522C7CF" w14:textId="77777777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0E6BB59C" w14:textId="77777777" w:rsidR="00000000" w:rsidRDefault="0000000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noProof w:val="0"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b/>
                <w:bCs/>
                <w:noProof w:val="0"/>
                <w:sz w:val="20"/>
                <w:szCs w:val="20"/>
                <w:lang w:val="sr-Cyrl-RS" w:eastAsia="sr-Cyrl-CS"/>
              </w:rPr>
              <w:t xml:space="preserve">Студијски програм: </w:t>
            </w:r>
            <w:r>
              <w:rPr>
                <w:rFonts w:ascii="Times New Roman" w:eastAsia="Times New Roman" w:hAnsi="Times New Roman"/>
                <w:bCs/>
                <w:noProof w:val="0"/>
                <w:sz w:val="20"/>
                <w:szCs w:val="20"/>
                <w:lang w:val="sr-Cyrl-RS" w:eastAsia="sr-Cyrl-CS"/>
              </w:rPr>
              <w:t>Oсновне струковне студије - Струковни медицинско-лабораторијски технолог</w:t>
            </w:r>
          </w:p>
        </w:tc>
      </w:tr>
      <w:tr w:rsidR="00000000" w14:paraId="7DEF552B" w14:textId="77777777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32583B7F" w14:textId="77777777" w:rsidR="00000000" w:rsidRDefault="0000000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/>
                <w:noProof w:val="0"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b/>
                <w:bCs/>
                <w:noProof w:val="0"/>
                <w:sz w:val="20"/>
                <w:szCs w:val="20"/>
                <w:lang w:val="sr-Cyrl-RS" w:eastAsia="sr-Cyrl-CS"/>
              </w:rPr>
              <w:t xml:space="preserve">Назив предмета: </w:t>
            </w:r>
            <w:r>
              <w:rPr>
                <w:rFonts w:ascii="Times New Roman" w:eastAsia="Times New Roman" w:hAnsi="Times New Roman"/>
                <w:noProof w:val="0"/>
                <w:sz w:val="20"/>
                <w:szCs w:val="20"/>
                <w:lang w:val="sr-Cyrl-RS" w:eastAsia="sr-Cyrl-CS"/>
              </w:rPr>
              <w:t>Основи педијатрије у лабораторијској дијагностици</w:t>
            </w:r>
          </w:p>
        </w:tc>
      </w:tr>
      <w:tr w:rsidR="00000000" w14:paraId="1645F13F" w14:textId="77777777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71E26B94" w14:textId="77777777" w:rsidR="00000000" w:rsidRDefault="0000000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/>
                <w:noProof w:val="0"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b/>
                <w:bCs/>
                <w:noProof w:val="0"/>
                <w:sz w:val="20"/>
                <w:szCs w:val="20"/>
                <w:lang w:val="sr-Cyrl-RS" w:eastAsia="sr-Cyrl-CS"/>
              </w:rPr>
              <w:t xml:space="preserve">Статус предмета: </w:t>
            </w:r>
            <w:r>
              <w:rPr>
                <w:rFonts w:ascii="Times New Roman" w:eastAsia="Times New Roman" w:hAnsi="Times New Roman"/>
                <w:noProof w:val="0"/>
                <w:sz w:val="20"/>
                <w:szCs w:val="20"/>
                <w:lang w:val="sr-Cyrl-RS" w:eastAsia="sr-Cyrl-CS"/>
              </w:rPr>
              <w:t>Обавезни</w:t>
            </w:r>
          </w:p>
        </w:tc>
      </w:tr>
      <w:tr w:rsidR="00000000" w14:paraId="2DADA7EB" w14:textId="77777777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1444C7B2" w14:textId="77777777" w:rsidR="00000000" w:rsidRDefault="0000000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/>
                <w:noProof w:val="0"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b/>
                <w:bCs/>
                <w:noProof w:val="0"/>
                <w:sz w:val="20"/>
                <w:szCs w:val="20"/>
                <w:lang w:val="sr-Cyrl-RS" w:eastAsia="sr-Cyrl-CS"/>
              </w:rPr>
              <w:t xml:space="preserve">Број ЕСПБ: </w:t>
            </w:r>
            <w:r>
              <w:rPr>
                <w:rFonts w:ascii="Times New Roman" w:eastAsia="Times New Roman" w:hAnsi="Times New Roman"/>
                <w:noProof w:val="0"/>
                <w:sz w:val="20"/>
                <w:szCs w:val="20"/>
                <w:lang w:val="sr-Cyrl-RS" w:eastAsia="sr-Cyrl-CS"/>
              </w:rPr>
              <w:t>3</w:t>
            </w:r>
          </w:p>
        </w:tc>
      </w:tr>
      <w:tr w:rsidR="00000000" w14:paraId="4891B6D7" w14:textId="77777777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7A0FBB4F" w14:textId="77777777" w:rsidR="00000000" w:rsidRDefault="0000000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/>
                <w:noProof w:val="0"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b/>
                <w:bCs/>
                <w:noProof w:val="0"/>
                <w:sz w:val="20"/>
                <w:szCs w:val="20"/>
                <w:lang w:val="sr-Cyrl-RS" w:eastAsia="sr-Cyrl-CS"/>
              </w:rPr>
              <w:t>Услов:</w:t>
            </w:r>
            <w:r>
              <w:rPr>
                <w:rFonts w:ascii="Times New Roman" w:eastAsia="Times New Roman" w:hAnsi="Times New Roman"/>
                <w:noProof w:val="0"/>
                <w:sz w:val="20"/>
                <w:szCs w:val="20"/>
                <w:lang w:val="sr-Cyrl-RS" w:eastAsia="sr-Cyrl-CS"/>
              </w:rPr>
              <w:t xml:space="preserve"> Уписан трећи семестар </w:t>
            </w:r>
          </w:p>
        </w:tc>
      </w:tr>
      <w:tr w:rsidR="00000000" w14:paraId="5AA96C23" w14:textId="77777777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19203ABD" w14:textId="77777777" w:rsidR="00000000" w:rsidRDefault="0000000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noProof w:val="0"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b/>
                <w:bCs/>
                <w:noProof w:val="0"/>
                <w:sz w:val="20"/>
                <w:szCs w:val="20"/>
                <w:lang w:val="sr-Cyrl-RS" w:eastAsia="sr-Cyrl-CS"/>
              </w:rPr>
              <w:t>Циљ предмета</w:t>
            </w:r>
          </w:p>
          <w:p w14:paraId="047A15F8" w14:textId="77777777" w:rsidR="00000000" w:rsidRDefault="0000000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noProof w:val="0"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noProof w:val="0"/>
                <w:sz w:val="20"/>
                <w:szCs w:val="20"/>
                <w:lang w:val="sr-Cyrl-RS" w:eastAsia="sr-Cyrl-CS"/>
              </w:rPr>
              <w:t>Основни циљеви наставе основи педијатрије су упознавање и стицање знања о специфичностима популације узраста од рођења до 18 година (усвајање знања о расту, развоју и исхрани), развијање вештина и усвајање знања о клиничким манифестацијама, диференцијално-дијагностичким процедурама и терапији обољења у овом узрасту. Оспособљавање струковних медицинских лабораторијских технолога за правилан приступ овој специфичној популацији у лабораторијама.</w:t>
            </w:r>
          </w:p>
        </w:tc>
      </w:tr>
      <w:tr w:rsidR="00000000" w14:paraId="055FB293" w14:textId="77777777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30A65887" w14:textId="77777777" w:rsidR="00000000" w:rsidRDefault="0000000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noProof w:val="0"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b/>
                <w:bCs/>
                <w:noProof w:val="0"/>
                <w:sz w:val="20"/>
                <w:szCs w:val="20"/>
                <w:lang w:val="sr-Cyrl-RS" w:eastAsia="sr-Cyrl-CS"/>
              </w:rPr>
              <w:t xml:space="preserve">Исход предмета </w:t>
            </w:r>
          </w:p>
          <w:p w14:paraId="789EF666" w14:textId="77777777" w:rsidR="00000000" w:rsidRDefault="0000000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noProof w:val="0"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noProof w:val="0"/>
                <w:sz w:val="20"/>
                <w:szCs w:val="20"/>
                <w:lang w:val="sr-Cyrl-RS" w:eastAsia="sr-Cyrl-CS"/>
              </w:rPr>
              <w:t>Током похађања наставе студенти стичу сва неопходна знања из области патогенезе, клиничке слике, дијагностике и терапије болести и стања која се јављају у дечијој популацији, уз истицање свих специфичности ове старосне групе (раста, развоја и исхране). Студент треба да препозна и дефинише превентивно медицинске мере и поступке, да планира правилну дијагностику, рашчлани диференцијалну дијагнозу и терапију најчешћих болести и стања карактеристичних за ову популацију. Студент треба да дефинише специфичности анамнезе, прегледа и специфичности ординирања терапије овој популацији..</w:t>
            </w:r>
          </w:p>
        </w:tc>
      </w:tr>
      <w:tr w:rsidR="00000000" w14:paraId="1163DAD4" w14:textId="77777777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43526D45" w14:textId="77777777" w:rsidR="00000000" w:rsidRDefault="0000000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noProof w:val="0"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b/>
                <w:bCs/>
                <w:noProof w:val="0"/>
                <w:sz w:val="20"/>
                <w:szCs w:val="20"/>
                <w:lang w:val="sr-Cyrl-RS" w:eastAsia="sr-Cyrl-CS"/>
              </w:rPr>
              <w:t>Садржај предмета</w:t>
            </w:r>
          </w:p>
          <w:p w14:paraId="4C36CEED" w14:textId="77777777" w:rsidR="00000000" w:rsidRDefault="0000000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/>
                <w:i/>
                <w:iCs/>
                <w:noProof w:val="0"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i/>
                <w:iCs/>
                <w:noProof w:val="0"/>
                <w:sz w:val="20"/>
                <w:szCs w:val="20"/>
                <w:lang w:val="sr-Cyrl-RS" w:eastAsia="sr-Cyrl-CS"/>
              </w:rPr>
              <w:t>Теоријска настава</w:t>
            </w:r>
          </w:p>
          <w:p w14:paraId="6DAD3249" w14:textId="77777777" w:rsidR="00000000" w:rsidRDefault="0000000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noProof w:val="0"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noProof w:val="0"/>
                <w:sz w:val="20"/>
                <w:szCs w:val="20"/>
                <w:lang w:val="sr-Cyrl-RS" w:eastAsia="sr-Cyrl-CS"/>
              </w:rPr>
              <w:t>Раст и развој: процена раста и развоја; Неонатологија: адаптација новорођенчета на екстраутерини живот; Порођајна траума; Карактеристике рочног и превремено рођеног новорођенчета; Патологија новорођеначког периода: Новорођеначка жутица; Хеморагијска болест новорођенчета; Новорођеначке инфекције; Исхрана; Ендокринологија; Гастроентерологија; Хепатологија; Пулмологија; Кардиологија: Фетална циркулација; Срчане мане; Реуматска грозница; Бактеријски ендокардитис; Болести срчаног мишића; Поремећаји срчаног ритма и провођења; Имунологија и реуматологија: Имунолошки систем. Јувенилни реуматоидни артритис. Системски лупус еритематодес; Алергологија; Хематологија и онкологија: Анемије; Поремећаји хемостазе; Скрининг хемостазе; Тромбоцитопеније; Коагулопатије; Васкулопатије; Увећање лимфних чворова у дечјем узрасту; Акутне леукемије; Онкологија; Лимфоми; Солидни тумори; Неуропедијатрија: Нормални психомоторни развој; а; Епилепсије и епилептички синдроми детињства; Главобоље; Терапија епилепсије и епилептичког статуса; Нефрологија: Дијагностичке методе у болестима уринарног тракта код деце.</w:t>
            </w:r>
          </w:p>
          <w:p w14:paraId="286F12B5" w14:textId="77777777" w:rsidR="00000000" w:rsidRDefault="0000000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/>
                <w:i/>
                <w:iCs/>
                <w:noProof w:val="0"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i/>
                <w:iCs/>
                <w:noProof w:val="0"/>
                <w:sz w:val="20"/>
                <w:szCs w:val="20"/>
                <w:lang w:val="sr-Cyrl-RS" w:eastAsia="sr-Cyrl-CS"/>
              </w:rPr>
              <w:t>Практична настава (вежбе)</w:t>
            </w:r>
          </w:p>
          <w:p w14:paraId="482D6AB7" w14:textId="77777777" w:rsidR="00000000" w:rsidRDefault="0000000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noProof w:val="0"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noProof w:val="0"/>
                <w:sz w:val="20"/>
                <w:szCs w:val="20"/>
                <w:lang w:val="sr-Cyrl-RS" w:eastAsia="sr-Cyrl-CS"/>
              </w:rPr>
              <w:t xml:space="preserve">Специфичности анамнезе и физикалног прегледа Однос пацијент –медицинско особље, процена кооперабилности и општег стања болесника. Посебна обележја и специфичности анамнезе и физикалног прегледа; Ендокринолошке и метаболичке болести у педијатрији. Поремећај воде и електролита и принципи корекције електролитног дисбаланса. Шећерна болест, хипотиреоза, хипертиреоза, КАХ, гојазност и хиперлипопротеинемије; Болести срца и крвних судова у дечјој доби. Болести органа за дисање код деце.; Исхрана природна вештачка, радионица исхране, принципи исхране здравог и болесног детета; Најчешће болести бубрега; Хематолошке и онколошке болести - анемије, леукемије, малигне болести у дечјем узрасту, поремећаји хемостазе; Болести имунолошког система. Болести у неонатологији процена ГС, Апгар скор, хипербилирубинемије, ИКХ; Неуролошке и психијатријске болести у дечјем узрасту; Болести у адолесценцији. Анорексија, ризично понашање, булимија, превенција ризичног понашања; Болести гастроинтестиналног система и јетре:; Здравствена заштита деце и омладине. Здравствене потребе и здравствена заштита у амбулантним и у стационарним условима; Здравствена заштита и социјална педијатрија. Ургентна стања, реанимација, тровања у дечјем узрасту и превенција. </w:t>
            </w:r>
          </w:p>
        </w:tc>
      </w:tr>
      <w:tr w:rsidR="00000000" w14:paraId="1CF39E68" w14:textId="77777777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3ECEC385" w14:textId="77777777" w:rsidR="00000000" w:rsidRDefault="0000000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noProof w:val="0"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b/>
                <w:bCs/>
                <w:noProof w:val="0"/>
                <w:sz w:val="20"/>
                <w:szCs w:val="20"/>
                <w:lang w:val="sr-Cyrl-RS" w:eastAsia="sr-Cyrl-CS"/>
              </w:rPr>
              <w:t xml:space="preserve">Литература </w:t>
            </w:r>
            <w:r>
              <w:rPr>
                <w:rFonts w:ascii="Times New Roman" w:eastAsia="Times New Roman" w:hAnsi="Times New Roman"/>
                <w:noProof w:val="0"/>
                <w:sz w:val="20"/>
                <w:szCs w:val="20"/>
                <w:lang w:val="sr-Cyrl-RS" w:eastAsia="sr-Cyrl-CS"/>
              </w:rPr>
              <w:t>.</w:t>
            </w:r>
          </w:p>
          <w:p w14:paraId="1D2F8A41" w14:textId="77777777" w:rsidR="00000000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 w:val="0"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noProof w:val="0"/>
                <w:color w:val="000000"/>
                <w:sz w:val="20"/>
                <w:szCs w:val="20"/>
                <w:lang w:val="sr-Cyrl-RS" w:eastAsia="sr-Cyrl-CS"/>
              </w:rPr>
              <w:t xml:space="preserve">1. Grgurić, J., &amp; Jovančević, M. (2017). </w:t>
            </w:r>
            <w:r>
              <w:rPr>
                <w:rFonts w:ascii="Times New Roman" w:eastAsia="Times New Roman" w:hAnsi="Times New Roman"/>
                <w:i/>
                <w:iCs/>
                <w:noProof w:val="0"/>
                <w:color w:val="000000"/>
                <w:sz w:val="20"/>
                <w:szCs w:val="20"/>
                <w:lang w:val="sr-Cyrl-RS" w:eastAsia="sr-Cyrl-CS"/>
              </w:rPr>
              <w:t>Preventivna i socijalna pedijatrija</w:t>
            </w:r>
            <w:r>
              <w:rPr>
                <w:rFonts w:ascii="Times New Roman" w:eastAsia="Times New Roman" w:hAnsi="Times New Roman"/>
                <w:noProof w:val="0"/>
                <w:color w:val="000000"/>
                <w:sz w:val="20"/>
                <w:szCs w:val="20"/>
                <w:lang w:val="sr-Cyrl-RS" w:eastAsia="sr-Cyrl-CS"/>
              </w:rPr>
              <w:t>. Zagreb: Medicinska naklada</w:t>
            </w:r>
            <w:r>
              <w:rPr>
                <w:rFonts w:ascii="Times New Roman" w:eastAsia="Times New Roman" w:hAnsi="Times New Roman"/>
                <w:noProof w:val="0"/>
                <w:sz w:val="20"/>
                <w:szCs w:val="20"/>
                <w:lang w:val="sr-Cyrl-RS" w:eastAsia="sr-Cyrl-CS"/>
              </w:rPr>
              <w:t xml:space="preserve"> </w:t>
            </w:r>
          </w:p>
          <w:p w14:paraId="43D79749" w14:textId="77777777" w:rsidR="00000000" w:rsidRDefault="00000000">
            <w:pPr>
              <w:spacing w:after="0" w:line="240" w:lineRule="auto"/>
              <w:rPr>
                <w:rFonts w:ascii="Times New Roman" w:eastAsia="Times New Roman" w:hAnsi="Times New Roman"/>
                <w:noProof w:val="0"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noProof w:val="0"/>
                <w:sz w:val="20"/>
                <w:szCs w:val="20"/>
                <w:lang w:val="sr-Cyrl-RS" w:eastAsia="sr-Cyrl-CS"/>
              </w:rPr>
              <w:t xml:space="preserve">2. Bogdanović, R., &amp; Radlović, N. (2022). </w:t>
            </w:r>
            <w:r>
              <w:rPr>
                <w:rFonts w:ascii="Times New Roman" w:eastAsia="Times New Roman" w:hAnsi="Times New Roman"/>
                <w:i/>
                <w:iCs/>
                <w:noProof w:val="0"/>
                <w:sz w:val="20"/>
                <w:szCs w:val="20"/>
                <w:lang w:val="sr-Cyrl-RS" w:eastAsia="sr-Cyrl-CS"/>
              </w:rPr>
              <w:t>Pedijatrija: Udžbenik za postdiplomsko usavršavanje lekara I – II</w:t>
            </w:r>
            <w:r>
              <w:rPr>
                <w:rFonts w:ascii="Times New Roman" w:eastAsia="Times New Roman" w:hAnsi="Times New Roman"/>
                <w:noProof w:val="0"/>
                <w:sz w:val="20"/>
                <w:szCs w:val="20"/>
                <w:lang w:val="sr-Cyrl-RS" w:eastAsia="sr-Cyrl-CS"/>
              </w:rPr>
              <w:t xml:space="preserve">. Beograd: </w:t>
            </w:r>
          </w:p>
          <w:p w14:paraId="40D3A3C9" w14:textId="77777777" w:rsidR="00000000" w:rsidRDefault="00000000">
            <w:pPr>
              <w:spacing w:after="0" w:line="240" w:lineRule="auto"/>
              <w:rPr>
                <w:rFonts w:ascii="Times New Roman" w:eastAsia="Times New Roman" w:hAnsi="Times New Roman"/>
                <w:noProof w:val="0"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noProof w:val="0"/>
                <w:sz w:val="20"/>
                <w:szCs w:val="20"/>
                <w:lang w:val="sr-Cyrl-RS" w:eastAsia="sr-Cyrl-CS"/>
              </w:rPr>
              <w:t xml:space="preserve">    Akademska misao</w:t>
            </w:r>
          </w:p>
          <w:p w14:paraId="123F2ED0" w14:textId="77777777" w:rsidR="00000000" w:rsidRDefault="00000000">
            <w:pPr>
              <w:spacing w:after="0" w:line="240" w:lineRule="auto"/>
              <w:rPr>
                <w:rFonts w:ascii="Times New Roman" w:eastAsia="Times New Roman" w:hAnsi="Times New Roman"/>
                <w:noProof w:val="0"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noProof w:val="0"/>
                <w:color w:val="000000"/>
                <w:sz w:val="20"/>
                <w:szCs w:val="20"/>
                <w:lang w:val="sr-Cyrl-RS" w:eastAsia="sr-Cyrl-CS"/>
              </w:rPr>
              <w:t xml:space="preserve">3. Kliegman, R.M., &amp; St. Geme, J.W. (Eds.). (2019). </w:t>
            </w:r>
            <w:r>
              <w:rPr>
                <w:rFonts w:ascii="Times New Roman" w:eastAsia="Times New Roman" w:hAnsi="Times New Roman"/>
                <w:i/>
                <w:iCs/>
                <w:noProof w:val="0"/>
                <w:color w:val="000000"/>
                <w:sz w:val="20"/>
                <w:szCs w:val="20"/>
                <w:lang w:val="sr-Cyrl-RS" w:eastAsia="sr-Cyrl-CS"/>
              </w:rPr>
              <w:t>Nelson Textbook of Pediatrics</w:t>
            </w:r>
            <w:r>
              <w:rPr>
                <w:rFonts w:ascii="Times New Roman" w:eastAsia="Times New Roman" w:hAnsi="Times New Roman"/>
                <w:noProof w:val="0"/>
                <w:color w:val="000000"/>
                <w:sz w:val="20"/>
                <w:szCs w:val="20"/>
                <w:lang w:val="sr-Cyrl-RS" w:eastAsia="sr-Cyrl-CS"/>
              </w:rPr>
              <w:t xml:space="preserve"> Philadelphia:Elsevier-Saunders</w:t>
            </w:r>
          </w:p>
        </w:tc>
      </w:tr>
      <w:tr w:rsidR="00000000" w14:paraId="16F12AFD" w14:textId="77777777" w:rsidTr="00EF04B4">
        <w:trPr>
          <w:trHeight w:val="227"/>
          <w:jc w:val="center"/>
        </w:trPr>
        <w:tc>
          <w:tcPr>
            <w:tcW w:w="1670" w:type="pct"/>
            <w:vAlign w:val="center"/>
          </w:tcPr>
          <w:p w14:paraId="4910C224" w14:textId="77777777" w:rsidR="00000000" w:rsidRDefault="0000000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noProof w:val="0"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b/>
                <w:bCs/>
                <w:noProof w:val="0"/>
                <w:sz w:val="20"/>
                <w:szCs w:val="20"/>
                <w:lang w:val="sr-Cyrl-RS" w:eastAsia="sr-Cyrl-CS"/>
              </w:rPr>
              <w:t xml:space="preserve">Број часова </w:t>
            </w:r>
            <w:r>
              <w:rPr>
                <w:rFonts w:ascii="Times New Roman" w:eastAsia="Times New Roman" w:hAnsi="Times New Roman"/>
                <w:b/>
                <w:noProof w:val="0"/>
                <w:sz w:val="20"/>
                <w:szCs w:val="20"/>
                <w:lang w:val="sr-Cyrl-RS" w:eastAsia="sr-Cyrl-CS"/>
              </w:rPr>
              <w:t xml:space="preserve"> активне наставе: </w:t>
            </w:r>
            <w:r>
              <w:rPr>
                <w:rFonts w:ascii="Times New Roman" w:eastAsia="Times New Roman" w:hAnsi="Times New Roman"/>
                <w:noProof w:val="0"/>
                <w:sz w:val="20"/>
                <w:szCs w:val="20"/>
                <w:lang w:val="sr-Cyrl-RS" w:eastAsia="sr-Cyrl-CS"/>
              </w:rPr>
              <w:t>45</w:t>
            </w:r>
          </w:p>
        </w:tc>
        <w:tc>
          <w:tcPr>
            <w:tcW w:w="1459" w:type="pct"/>
            <w:gridSpan w:val="2"/>
            <w:vAlign w:val="center"/>
          </w:tcPr>
          <w:p w14:paraId="22F4A80F" w14:textId="77777777" w:rsidR="00000000" w:rsidRDefault="0000000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noProof w:val="0"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b/>
                <w:noProof w:val="0"/>
                <w:sz w:val="20"/>
                <w:szCs w:val="20"/>
                <w:lang w:val="sr-Cyrl-RS" w:eastAsia="sr-Cyrl-CS"/>
              </w:rPr>
              <w:t xml:space="preserve">Теоријска настава: </w:t>
            </w:r>
            <w:r>
              <w:rPr>
                <w:rFonts w:ascii="Times New Roman" w:eastAsia="Times New Roman" w:hAnsi="Times New Roman"/>
                <w:noProof w:val="0"/>
                <w:sz w:val="20"/>
                <w:szCs w:val="20"/>
                <w:lang w:val="sr-Cyrl-RS" w:eastAsia="sr-Cyrl-CS"/>
              </w:rPr>
              <w:t>30</w:t>
            </w:r>
          </w:p>
        </w:tc>
        <w:tc>
          <w:tcPr>
            <w:tcW w:w="1870" w:type="pct"/>
            <w:gridSpan w:val="2"/>
            <w:vAlign w:val="center"/>
          </w:tcPr>
          <w:p w14:paraId="1EE01E25" w14:textId="77777777" w:rsidR="00000000" w:rsidRDefault="0000000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noProof w:val="0"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b/>
                <w:noProof w:val="0"/>
                <w:sz w:val="20"/>
                <w:szCs w:val="20"/>
                <w:lang w:val="sr-Cyrl-RS" w:eastAsia="sr-Cyrl-CS"/>
              </w:rPr>
              <w:t xml:space="preserve">Практична настава: </w:t>
            </w:r>
            <w:r>
              <w:rPr>
                <w:rFonts w:ascii="Times New Roman" w:eastAsia="Times New Roman" w:hAnsi="Times New Roman"/>
                <w:bCs/>
                <w:noProof w:val="0"/>
                <w:sz w:val="20"/>
                <w:szCs w:val="20"/>
                <w:lang w:val="sr-Cyrl-RS" w:eastAsia="sr-Cyrl-CS"/>
              </w:rPr>
              <w:t>15</w:t>
            </w:r>
          </w:p>
        </w:tc>
      </w:tr>
      <w:tr w:rsidR="00000000" w14:paraId="2A90EC9E" w14:textId="77777777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3D0AF291" w14:textId="77777777" w:rsidR="00000000" w:rsidRDefault="0000000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noProof w:val="0"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b/>
                <w:bCs/>
                <w:noProof w:val="0"/>
                <w:sz w:val="20"/>
                <w:szCs w:val="20"/>
                <w:lang w:val="sr-Cyrl-RS" w:eastAsia="sr-Cyrl-CS"/>
              </w:rPr>
              <w:t>Методе извођења наставе</w:t>
            </w:r>
          </w:p>
          <w:p w14:paraId="68088987" w14:textId="77777777" w:rsidR="00000000" w:rsidRDefault="000000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noProof w:val="0"/>
                <w:color w:val="222222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/>
                <w:noProof w:val="0"/>
                <w:sz w:val="20"/>
                <w:szCs w:val="20"/>
                <w:lang w:val="sr-Cyrl-RS"/>
              </w:rPr>
              <w:t>Предавања, вежбе, рад у малoj групи</w:t>
            </w:r>
          </w:p>
        </w:tc>
      </w:tr>
      <w:tr w:rsidR="00000000" w14:paraId="5CCCE1FC" w14:textId="77777777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14D22472" w14:textId="77777777" w:rsidR="00000000" w:rsidRDefault="0000000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noProof w:val="0"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b/>
                <w:bCs/>
                <w:noProof w:val="0"/>
                <w:sz w:val="20"/>
                <w:szCs w:val="20"/>
                <w:lang w:val="sr-Cyrl-RS" w:eastAsia="sr-Cyrl-CS"/>
              </w:rPr>
              <w:t>Оцена  знања (максимални број поена 100)</w:t>
            </w:r>
          </w:p>
        </w:tc>
      </w:tr>
      <w:tr w:rsidR="00000000" w14:paraId="7B5DA9B8" w14:textId="77777777" w:rsidTr="00EF04B4">
        <w:trPr>
          <w:trHeight w:val="227"/>
          <w:jc w:val="center"/>
        </w:trPr>
        <w:tc>
          <w:tcPr>
            <w:tcW w:w="1670" w:type="pct"/>
            <w:vAlign w:val="center"/>
          </w:tcPr>
          <w:p w14:paraId="3B065FB5" w14:textId="77777777" w:rsidR="00000000" w:rsidRDefault="0000000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/>
                <w:b/>
                <w:iCs/>
                <w:noProof w:val="0"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b/>
                <w:iCs/>
                <w:noProof w:val="0"/>
                <w:sz w:val="20"/>
                <w:szCs w:val="20"/>
                <w:lang w:val="sr-Cyrl-RS" w:eastAsia="sr-Cyrl-CS"/>
              </w:rPr>
              <w:t>Предиспитне обавезе</w:t>
            </w:r>
          </w:p>
        </w:tc>
        <w:tc>
          <w:tcPr>
            <w:tcW w:w="997" w:type="pct"/>
            <w:vAlign w:val="center"/>
          </w:tcPr>
          <w:p w14:paraId="7E927073" w14:textId="77777777" w:rsidR="00000000" w:rsidRDefault="0000000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/>
                <w:b/>
                <w:noProof w:val="0"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b/>
                <w:noProof w:val="0"/>
                <w:sz w:val="20"/>
                <w:szCs w:val="20"/>
                <w:lang w:val="sr-Cyrl-RS" w:eastAsia="sr-Cyrl-CS"/>
              </w:rPr>
              <w:t>поена</w:t>
            </w:r>
          </w:p>
        </w:tc>
        <w:tc>
          <w:tcPr>
            <w:tcW w:w="1667" w:type="pct"/>
            <w:gridSpan w:val="2"/>
            <w:vAlign w:val="center"/>
          </w:tcPr>
          <w:p w14:paraId="52F0F9D7" w14:textId="77777777" w:rsidR="00000000" w:rsidRDefault="0000000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/>
                <w:b/>
                <w:noProof w:val="0"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b/>
                <w:iCs/>
                <w:noProof w:val="0"/>
                <w:sz w:val="20"/>
                <w:szCs w:val="20"/>
                <w:lang w:val="sr-Cyrl-RS" w:eastAsia="sr-Cyrl-CS"/>
              </w:rPr>
              <w:t xml:space="preserve">Завршни испит </w:t>
            </w:r>
          </w:p>
        </w:tc>
        <w:tc>
          <w:tcPr>
            <w:tcW w:w="665" w:type="pct"/>
            <w:vAlign w:val="center"/>
          </w:tcPr>
          <w:p w14:paraId="01AD95EF" w14:textId="77777777" w:rsidR="00000000" w:rsidRDefault="0000000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/>
                <w:b/>
                <w:noProof w:val="0"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b/>
                <w:noProof w:val="0"/>
                <w:sz w:val="20"/>
                <w:szCs w:val="20"/>
                <w:lang w:val="sr-Cyrl-RS" w:eastAsia="sr-Cyrl-CS"/>
              </w:rPr>
              <w:t>поена</w:t>
            </w:r>
          </w:p>
        </w:tc>
      </w:tr>
      <w:tr w:rsidR="00000000" w14:paraId="63DE2304" w14:textId="77777777" w:rsidTr="00EF04B4">
        <w:trPr>
          <w:trHeight w:val="227"/>
          <w:jc w:val="center"/>
        </w:trPr>
        <w:tc>
          <w:tcPr>
            <w:tcW w:w="1670" w:type="pct"/>
            <w:vAlign w:val="center"/>
          </w:tcPr>
          <w:p w14:paraId="5344E504" w14:textId="77777777" w:rsidR="00000000" w:rsidRDefault="0000000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/>
                <w:i/>
                <w:iCs/>
                <w:noProof w:val="0"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noProof w:val="0"/>
                <w:sz w:val="20"/>
                <w:szCs w:val="20"/>
                <w:lang w:val="sr-Cyrl-RS" w:eastAsia="sr-Cyrl-CS"/>
              </w:rPr>
              <w:t>активност у току предавања</w:t>
            </w:r>
          </w:p>
        </w:tc>
        <w:tc>
          <w:tcPr>
            <w:tcW w:w="997" w:type="pct"/>
            <w:vAlign w:val="center"/>
          </w:tcPr>
          <w:p w14:paraId="1512ADE3" w14:textId="77777777" w:rsidR="00000000" w:rsidRDefault="0000000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/>
                <w:bCs/>
                <w:noProof w:val="0"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bCs/>
                <w:noProof w:val="0"/>
                <w:sz w:val="20"/>
                <w:szCs w:val="20"/>
                <w:lang w:val="sr-Cyrl-RS" w:eastAsia="sr-Cyrl-CS"/>
              </w:rPr>
              <w:t>15</w:t>
            </w:r>
          </w:p>
        </w:tc>
        <w:tc>
          <w:tcPr>
            <w:tcW w:w="1667" w:type="pct"/>
            <w:gridSpan w:val="2"/>
            <w:vAlign w:val="center"/>
          </w:tcPr>
          <w:p w14:paraId="08A5925E" w14:textId="77777777" w:rsidR="00000000" w:rsidRDefault="0000000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/>
                <w:i/>
                <w:iCs/>
                <w:noProof w:val="0"/>
                <w:sz w:val="20"/>
                <w:szCs w:val="20"/>
                <w:highlight w:val="yellow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noProof w:val="0"/>
                <w:sz w:val="20"/>
                <w:szCs w:val="20"/>
                <w:lang w:val="sr-Cyrl-RS" w:eastAsia="sr-Cyrl-CS"/>
              </w:rPr>
              <w:t>писмени испит</w:t>
            </w:r>
          </w:p>
        </w:tc>
        <w:tc>
          <w:tcPr>
            <w:tcW w:w="665" w:type="pct"/>
            <w:vAlign w:val="center"/>
          </w:tcPr>
          <w:p w14:paraId="52ECDCC4" w14:textId="77777777" w:rsidR="00000000" w:rsidRDefault="0000000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/>
                <w:iCs/>
                <w:noProof w:val="0"/>
                <w:sz w:val="20"/>
                <w:szCs w:val="20"/>
                <w:highlight w:val="yellow"/>
                <w:lang w:val="sr-Cyrl-RS" w:eastAsia="sr-Cyrl-CS"/>
              </w:rPr>
            </w:pPr>
          </w:p>
        </w:tc>
      </w:tr>
      <w:tr w:rsidR="00000000" w14:paraId="4AEC2596" w14:textId="77777777" w:rsidTr="00EF04B4">
        <w:trPr>
          <w:trHeight w:val="227"/>
          <w:jc w:val="center"/>
        </w:trPr>
        <w:tc>
          <w:tcPr>
            <w:tcW w:w="1670" w:type="pct"/>
            <w:vAlign w:val="center"/>
          </w:tcPr>
          <w:p w14:paraId="5BF24C29" w14:textId="77777777" w:rsidR="00000000" w:rsidRDefault="0000000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/>
                <w:i/>
                <w:iCs/>
                <w:noProof w:val="0"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noProof w:val="0"/>
                <w:sz w:val="20"/>
                <w:szCs w:val="20"/>
                <w:lang w:val="sr-Cyrl-RS" w:eastAsia="sr-Cyrl-CS"/>
              </w:rPr>
              <w:t>практична настава (вежбе)</w:t>
            </w:r>
          </w:p>
        </w:tc>
        <w:tc>
          <w:tcPr>
            <w:tcW w:w="997" w:type="pct"/>
            <w:vAlign w:val="center"/>
          </w:tcPr>
          <w:p w14:paraId="79609676" w14:textId="77777777" w:rsidR="00000000" w:rsidRDefault="0000000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/>
                <w:bCs/>
                <w:noProof w:val="0"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bCs/>
                <w:noProof w:val="0"/>
                <w:sz w:val="20"/>
                <w:szCs w:val="20"/>
                <w:lang w:val="sr-Cyrl-RS" w:eastAsia="sr-Cyrl-CS"/>
              </w:rPr>
              <w:t>15</w:t>
            </w:r>
          </w:p>
        </w:tc>
        <w:tc>
          <w:tcPr>
            <w:tcW w:w="1667" w:type="pct"/>
            <w:gridSpan w:val="2"/>
            <w:vAlign w:val="center"/>
          </w:tcPr>
          <w:p w14:paraId="09791758" w14:textId="77777777" w:rsidR="00000000" w:rsidRDefault="0000000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/>
                <w:i/>
                <w:iCs/>
                <w:noProof w:val="0"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noProof w:val="0"/>
                <w:sz w:val="20"/>
                <w:szCs w:val="20"/>
                <w:lang w:val="sr-Cyrl-RS" w:eastAsia="sr-Cyrl-CS"/>
              </w:rPr>
              <w:t>усмени испит</w:t>
            </w:r>
          </w:p>
        </w:tc>
        <w:tc>
          <w:tcPr>
            <w:tcW w:w="665" w:type="pct"/>
            <w:vAlign w:val="center"/>
          </w:tcPr>
          <w:p w14:paraId="058142CB" w14:textId="77777777" w:rsidR="00000000" w:rsidRDefault="0000000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/>
                <w:iCs/>
                <w:noProof w:val="0"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iCs/>
                <w:noProof w:val="0"/>
                <w:sz w:val="20"/>
                <w:szCs w:val="20"/>
                <w:lang w:val="sr-Cyrl-RS" w:eastAsia="sr-Cyrl-CS"/>
              </w:rPr>
              <w:t>45</w:t>
            </w:r>
          </w:p>
        </w:tc>
      </w:tr>
      <w:tr w:rsidR="00000000" w14:paraId="641F2A35" w14:textId="77777777" w:rsidTr="00EF04B4">
        <w:trPr>
          <w:trHeight w:val="227"/>
          <w:jc w:val="center"/>
        </w:trPr>
        <w:tc>
          <w:tcPr>
            <w:tcW w:w="1670" w:type="pct"/>
            <w:vAlign w:val="center"/>
          </w:tcPr>
          <w:p w14:paraId="606ABC0A" w14:textId="77777777" w:rsidR="00000000" w:rsidRDefault="0000000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/>
                <w:i/>
                <w:iCs/>
                <w:noProof w:val="0"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noProof w:val="0"/>
                <w:sz w:val="20"/>
                <w:szCs w:val="20"/>
                <w:lang w:val="sr-Cyrl-RS" w:eastAsia="sr-Cyrl-CS"/>
              </w:rPr>
              <w:t>колоквијум-и</w:t>
            </w:r>
          </w:p>
        </w:tc>
        <w:tc>
          <w:tcPr>
            <w:tcW w:w="997" w:type="pct"/>
            <w:vAlign w:val="center"/>
          </w:tcPr>
          <w:p w14:paraId="79BCAF95" w14:textId="77777777" w:rsidR="00000000" w:rsidRDefault="0000000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/>
                <w:bCs/>
                <w:noProof w:val="0"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bCs/>
                <w:noProof w:val="0"/>
                <w:sz w:val="20"/>
                <w:szCs w:val="20"/>
                <w:lang w:val="sr-Cyrl-RS" w:eastAsia="sr-Cyrl-CS"/>
              </w:rPr>
              <w:t>15</w:t>
            </w:r>
          </w:p>
        </w:tc>
        <w:tc>
          <w:tcPr>
            <w:tcW w:w="1667" w:type="pct"/>
            <w:gridSpan w:val="2"/>
            <w:vAlign w:val="center"/>
          </w:tcPr>
          <w:p w14:paraId="56A8F32B" w14:textId="77777777" w:rsidR="00000000" w:rsidRDefault="0000000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/>
                <w:i/>
                <w:iCs/>
                <w:noProof w:val="0"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noProof w:val="0"/>
                <w:sz w:val="20"/>
                <w:szCs w:val="20"/>
                <w:lang w:val="sr-Cyrl-RS" w:eastAsia="sr-Cyrl-CS"/>
              </w:rPr>
              <w:t>практични испит</w:t>
            </w:r>
          </w:p>
        </w:tc>
        <w:tc>
          <w:tcPr>
            <w:tcW w:w="665" w:type="pct"/>
            <w:vAlign w:val="center"/>
          </w:tcPr>
          <w:p w14:paraId="2A85A532" w14:textId="77777777" w:rsidR="00000000" w:rsidRDefault="00000000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/>
                <w:iCs/>
                <w:noProof w:val="0"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iCs/>
                <w:noProof w:val="0"/>
                <w:sz w:val="20"/>
                <w:szCs w:val="20"/>
                <w:lang w:val="sr-Cyrl-RS" w:eastAsia="sr-Cyrl-CS"/>
              </w:rPr>
              <w:t>10</w:t>
            </w:r>
          </w:p>
        </w:tc>
      </w:tr>
    </w:tbl>
    <w:p w14:paraId="1AA31231" w14:textId="77777777" w:rsidR="008152CC" w:rsidRDefault="008152CC">
      <w:pPr>
        <w:jc w:val="both"/>
        <w:rPr>
          <w:rFonts w:ascii="Times New Roman" w:hAnsi="Times New Roman"/>
          <w:color w:val="FF0000"/>
          <w:lang w:val="sr-Cyrl-RS"/>
        </w:rPr>
      </w:pPr>
    </w:p>
    <w:sectPr w:rsidR="008152CC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2032C2"/>
    <w:multiLevelType w:val="hybridMultilevel"/>
    <w:tmpl w:val="5D367340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08643A"/>
    <w:multiLevelType w:val="hybridMultilevel"/>
    <w:tmpl w:val="797AD12E"/>
    <w:lvl w:ilvl="0" w:tplc="52F27D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467632"/>
    <w:multiLevelType w:val="hybridMultilevel"/>
    <w:tmpl w:val="AE30E044"/>
    <w:lvl w:ilvl="0" w:tplc="D21294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4638730">
    <w:abstractNumId w:val="2"/>
  </w:num>
  <w:num w:numId="2" w16cid:durableId="690493398">
    <w:abstractNumId w:val="1"/>
  </w:num>
  <w:num w:numId="3" w16cid:durableId="782193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9BA"/>
    <w:rsid w:val="004009BA"/>
    <w:rsid w:val="008152CC"/>
    <w:rsid w:val="00EF0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2BC41"/>
  <w15:chartTrackingRefBased/>
  <w15:docId w15:val="{F3F0CF83-BF31-492E-B958-BB4695121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r-Cyrl-RS" w:eastAsia="sr-Cyrl-R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noProof/>
      <w:sz w:val="22"/>
      <w:szCs w:val="22"/>
      <w:lang w:val="af-ZA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Pr>
      <w:noProof/>
      <w:sz w:val="22"/>
      <w:szCs w:val="22"/>
      <w:lang w:val="af-ZA" w:eastAsia="en-US"/>
    </w:rPr>
  </w:style>
  <w:style w:type="character" w:customStyle="1" w:styleId="fontstyle01">
    <w:name w:val="fontstyle01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pPr>
      <w:spacing w:after="0" w:line="240" w:lineRule="auto"/>
      <w:ind w:left="720"/>
      <w:contextualSpacing/>
    </w:pPr>
    <w:rPr>
      <w:noProof w:val="0"/>
      <w:lang w:val="en-US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assbeograd@outlook.com</dc:creator>
  <cp:keywords/>
  <cp:lastModifiedBy>Sistem administrator FMN</cp:lastModifiedBy>
  <cp:revision>2</cp:revision>
  <cp:lastPrinted>2023-03-07T07:33:00Z</cp:lastPrinted>
  <dcterms:created xsi:type="dcterms:W3CDTF">2026-08-07T08:08:00Z</dcterms:created>
  <dcterms:modified xsi:type="dcterms:W3CDTF">2026-08-07T08:08:00Z</dcterms:modified>
</cp:coreProperties>
</file>