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8"/>
        <w:gridCol w:w="2018"/>
        <w:gridCol w:w="1208"/>
        <w:gridCol w:w="2109"/>
        <w:gridCol w:w="1281"/>
      </w:tblGrid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>Студијски програм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: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  <w:t xml:space="preserve"> Oсновне струковне студије - Струковни медицинско-лабораторијски технолог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 w:rsidP="007F119C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>Назив предмета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: </w:t>
            </w:r>
            <w:r w:rsidR="007F119C"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Руковање биолошким материјалом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медицинским отпадом 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 xml:space="preserve">Статус предмета: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Oбавезни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Број ЕСПБ: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5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 xml:space="preserve">Услов: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Уписан трећи семестар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Циљ предмета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Стицање знања о врстама биолошког материјала у лабораторији, лабораторијским техникама које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се примењују у клиничко биохемијским лабораторијама, као и о медицинском отпаду у клиничко-биохемијским лабораторијама, његовом раздвајању, обележавању, одлагању и транспорту.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Исход предмета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По завршетку ово предмета студент ће моћи: да разумеју улогу 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значај медицинско-лабораторијског технолога у тиму лабораторије; да познаје фазе клиничко-биохемијског испитивања; да се упозна са применoм стандардизованих поступака у узорковању, руковању и чувању биолошког материјала,  да буде упознат са фазама клиничко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-биохемијског испитивања, лабораторијским техникама и радом на биохемијским, и имунохемијским анализаторима који се најчешће користе у рутинским клиничко-биохемијским лабораторијама као и са медицинским отпадом у лабораторијама, његовим раздвајању, обележа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вању, одлагању и транспорту.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Садржај предмета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  <w:t>Теоријска настава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Упознавање са организацијом клиничко-биохемијских лабораторија; Упознавање са фазама лабораторијског испитивања; Упознавање са врстама биолошког материјала, начинима узорковања, руковањем и чувањем биолошког материјал ; Упознавање са фазама лабораторијског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испитивања; Упознавање са „ручним „методама у лабораторији; Принципи фотометрије, колориметрије, спектрофотометрије, флуориметрије; Упознавање са принципима рада биохемијских анализатора; Упознавање са принципима рада имунохемијских анализатора; Упознавањ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е са принципима рада на хематолошким анализаторима; Упознавање са принципима рада на коагулометрима; Упознавање са принципима рада на уринским анализаторима; Упознавање са принципима рада на гасним анализаторима; Утицај егзогених и ендогених интерференција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на резултате лабораторијских одређивања; Класификација медицинског отпада,  менаџмент  медицинским отпадом у клиничко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биохемијским лабораторијама и законска регулатива; Упознавање са провером квалитета рада у клиничко биохемијским лабораторијама;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  <w:t>Практичн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  <w:t>а настава (вежбе)</w:t>
            </w:r>
          </w:p>
          <w:p w:rsidR="00FC2CE8" w:rsidRDefault="00BE6D7A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 xml:space="preserve">Улога струковно медицинског технолога у клиничко-биохемијској пракси; Вођење медицинске документације у лабораторији и упознавање са лабораторијским информационим системом; Узроковање биолошког материјала; Пријем, тријажа и преаналитичка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припрема, чување биолошког материјала; Аналитичке интерференције; Упознавање са радом на биохемијским и имунохемијским анализаторима; Упознавање са радом на хематолошким анализаторима; Спровођење унутрашње контроле стручног рада у клиничко биохемијској лаб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ораторији и израдом и тумачењем контролних карата; Спровођење спољашње контроле квалитета рада у клиничко биохемијској лабораторији и тумачење извештаја спољашње контроле квалитета; Отпад у клиничко биохемијским лабораторијама.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 xml:space="preserve">Литература </w:t>
            </w:r>
          </w:p>
          <w:p w:rsidR="00FC2CE8" w:rsidRDefault="00BE6D7A">
            <w:p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1.  Rifai, N., 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Horvath, A. R., &amp; Wittwer, C. T. (2018).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/>
              </w:rPr>
              <w:t>Tietz Textbook of Clinical Chemistry and Molecular Diagnostics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 </w:t>
            </w:r>
          </w:p>
          <w:p w:rsidR="00FC2CE8" w:rsidRDefault="00BE6D7A">
            <w:p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/>
              </w:rPr>
              <w:t>2.  Mihaljević, O. (2020). 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/>
              </w:rPr>
              <w:t>Laboratorijski praktikum iz patološke fiziologije: odabrana poglavlja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Kragujevac: 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Fakultet medicinskih nauka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2CE8" w:rsidRDefault="00BE6D7A">
            <w:p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sz w:val="20"/>
                <w:szCs w:val="20"/>
                <w:lang/>
              </w:rPr>
              <w:t xml:space="preserve">3.  Zakon o </w:t>
            </w:r>
            <w:r>
              <w:rPr>
                <w:rFonts w:ascii="Times New Roman" w:hAnsi="Times New Roman"/>
                <w:sz w:val="20"/>
                <w:szCs w:val="20"/>
                <w:lang/>
              </w:rPr>
              <w:t>upravljanju otpadom ("Sl. glasnik RS", br. 36/2009, 88/2010, 14/2016, 95/2018 - dr. zakon i 35/2023)</w:t>
            </w:r>
          </w:p>
        </w:tc>
      </w:tr>
      <w:tr w:rsidR="00FC2CE8">
        <w:trPr>
          <w:trHeight w:val="227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 xml:space="preserve">Број часова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 xml:space="preserve">активне наставе: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75</w:t>
            </w:r>
          </w:p>
        </w:tc>
        <w:tc>
          <w:tcPr>
            <w:tcW w:w="1637" w:type="pct"/>
            <w:gridSpan w:val="2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 xml:space="preserve">Теоријска настава: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 xml:space="preserve">Практична настава: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30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Методе извођења наставе</w:t>
            </w:r>
          </w:p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Предавања, вежбе, рад у малим групама</w:t>
            </w:r>
          </w:p>
        </w:tc>
      </w:tr>
      <w:tr w:rsidR="00FC2CE8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 xml:space="preserve">Оцена знања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  <w:t>(максимални број поена 100)</w:t>
            </w:r>
          </w:p>
        </w:tc>
      </w:tr>
      <w:tr w:rsidR="00FC2CE8">
        <w:trPr>
          <w:trHeight w:val="227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sr-Cyrl-CS"/>
              </w:rPr>
              <w:t>поена</w:t>
            </w:r>
          </w:p>
        </w:tc>
      </w:tr>
      <w:tr w:rsidR="00FC2CE8">
        <w:trPr>
          <w:trHeight w:val="227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  <w:t>20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FC2CE8" w:rsidRDefault="00FC2CE8"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</w:pPr>
          </w:p>
        </w:tc>
      </w:tr>
      <w:tr w:rsidR="00FC2CE8">
        <w:trPr>
          <w:trHeight w:val="227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  <w:t>20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sr-Cyrl-CS"/>
              </w:rPr>
              <w:t>усмени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  <w:t>50</w:t>
            </w:r>
          </w:p>
        </w:tc>
      </w:tr>
      <w:tr w:rsidR="00FC2CE8">
        <w:trPr>
          <w:trHeight w:val="70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практични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FC2CE8" w:rsidRDefault="00FC2CE8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</w:p>
        </w:tc>
      </w:tr>
      <w:tr w:rsidR="00FC2CE8">
        <w:trPr>
          <w:trHeight w:val="227"/>
          <w:jc w:val="center"/>
        </w:trPr>
        <w:tc>
          <w:tcPr>
            <w:tcW w:w="1643" w:type="pct"/>
            <w:vAlign w:val="center"/>
          </w:tcPr>
          <w:p w:rsidR="00FC2CE8" w:rsidRDefault="00BE6D7A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:rsidR="00FC2CE8" w:rsidRDefault="00FC2CE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FC2CE8" w:rsidRDefault="00FC2CE8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FC2CE8" w:rsidRDefault="00FC2CE8"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sr-Cyrl-CS"/>
              </w:rPr>
            </w:pPr>
          </w:p>
        </w:tc>
      </w:tr>
    </w:tbl>
    <w:p w:rsidR="00FC2CE8" w:rsidRDefault="00FC2CE8"/>
    <w:sectPr w:rsidR="00FC2CE8" w:rsidSect="00FC2CE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D7B32"/>
    <w:multiLevelType w:val="hybridMultilevel"/>
    <w:tmpl w:val="0EAE9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80332"/>
    <w:multiLevelType w:val="hybridMultilevel"/>
    <w:tmpl w:val="D25A7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9249C"/>
    <w:multiLevelType w:val="hybridMultilevel"/>
    <w:tmpl w:val="DC928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32F6C"/>
    <w:multiLevelType w:val="hybridMultilevel"/>
    <w:tmpl w:val="0E8C7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C2CE8"/>
    <w:rsid w:val="007F119C"/>
    <w:rsid w:val="00BE6D7A"/>
    <w:rsid w:val="00FC2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CE8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C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</cp:lastModifiedBy>
  <cp:revision>3</cp:revision>
  <cp:lastPrinted>2022-09-08T06:43:00Z</cp:lastPrinted>
  <dcterms:created xsi:type="dcterms:W3CDTF">2024-04-09T21:06:00Z</dcterms:created>
  <dcterms:modified xsi:type="dcterms:W3CDTF">2025-06-10T06:24:00Z</dcterms:modified>
</cp:coreProperties>
</file>