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2018"/>
        <w:gridCol w:w="1208"/>
        <w:gridCol w:w="2109"/>
        <w:gridCol w:w="1281"/>
      </w:tblGrid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Cyrl-RS" w:eastAsia="sr-Cyrl-CS"/>
              </w:rPr>
              <w:t>Студијски програм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sr-Cyrl-CS"/>
              </w:rPr>
              <w:t>Oсновне</w:t>
            </w:r>
            <w:proofErr w:type="spellEnd"/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sr-Cyrl-CS"/>
              </w:rPr>
              <w:t xml:space="preserve"> струковне студије - Струковни медицинско-лабораторијски технолог</w:t>
            </w:r>
          </w:p>
        </w:tc>
      </w:tr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Cyrl-RS" w:eastAsia="sr-Cyrl-CS"/>
              </w:rPr>
              <w:t>Назив предмета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: Клиничка биохемија 1</w:t>
            </w:r>
          </w:p>
        </w:tc>
      </w:tr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 xml:space="preserve">Статус предмета: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Oбавезни</w:t>
            </w:r>
            <w:proofErr w:type="spellEnd"/>
          </w:p>
        </w:tc>
      </w:tr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 xml:space="preserve">Број ЕСПБ: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sr-Cyrl-CS"/>
              </w:rPr>
              <w:t>8</w:t>
            </w:r>
          </w:p>
        </w:tc>
      </w:tr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 xml:space="preserve">Услов: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sr-Cyrl-CS"/>
              </w:rPr>
              <w:t>Уписан трећи семестар</w:t>
            </w:r>
          </w:p>
        </w:tc>
      </w:tr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>Циљ предмета</w:t>
            </w:r>
          </w:p>
          <w:p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 xml:space="preserve">Усвајање знања о значају клиничке биохемије у дијагностици , терапијском мониторингу и прогнози болести: јетре, бубрега, инфламаторних болести, поремећаја метаболизма гвожђа, као и усвајања знања из области  значаја мерења ензимске активности у клиничким лабораторијама. Такође, студенти би требало да усвоје знања везано за све фазе укупног лабораторијског процеса као и могућност настанка грешке у овим фазама.   </w:t>
            </w:r>
          </w:p>
        </w:tc>
      </w:tr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>Исход предмета</w:t>
            </w:r>
          </w:p>
          <w:p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sr-Cyrl-CS"/>
              </w:rPr>
              <w:t xml:space="preserve">По завршетку овог предмета студенти ће моћи да разумеју: улогу клиничке биохемије у дијагностици, праћењу и прогнози болести и принципе аналитичких испитивања која се изводе у клиничко-биохемијским лабораторијама. Такође, студенти ће моћи да препознају могућност настанка грешака у току укупног лабораторијског процеса, као и да спроведу адекватне поступке за превенцију и  уклањање  уочених грешака.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sr-Cyrl-CS"/>
              </w:rPr>
              <w:t>Усвојена знања омогући ће разумевање: улоге клиничко-биохемијске лабораторије и лабораторијског резултата у дијагностици тј. доношењу правовремене и адекватне клиничке одлуке.</w:t>
            </w:r>
          </w:p>
        </w:tc>
      </w:tr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>Садржај предмета</w:t>
            </w:r>
          </w:p>
          <w:p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  <w:t>Теоријска настава</w:t>
            </w:r>
          </w:p>
          <w:p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Значај клиничке биохемије у дијагностици болести; Процес рада у клиничким лабораторијама –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преаналитичка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, аналитичка и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постаналитичка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 фаза; Лабораторијске анализе у поремећају метаболизма протеина;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Ензимологија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 у клиничкој биохемији 1;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Ензимологија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 у клиничкој биохемији 2;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Ензимологија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 у клиничкој биохемији 3; Угљени хидрати; Липиди;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Непротеинска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 азотна једињења;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Билирубин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; Клиничко - лабораторијски аспекти анализе урина; Клиничко -  лабораторијски аспекти болести јетре; Клиничко - лабораторијски аспекти болести бубрега; Клиничко - лабораторијски аспекти инфламаторних болести; Клиничко - лабораторијски аспекти поремећаја метаболизма гвожђа;</w:t>
            </w:r>
          </w:p>
          <w:p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  <w:t>Практична настава</w:t>
            </w:r>
          </w:p>
          <w:p>
            <w:pPr>
              <w:tabs>
                <w:tab w:val="left" w:pos="567"/>
              </w:tabs>
              <w:jc w:val="both"/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Значај клиничке биохемије у дијагностици болести-практични аспекти; Процес рада у клиничким лабораторијама –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преаналитичка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, аналитичка и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постаналитичка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 фаза - практични аспекти; Лабораторијске анализе у поремећају метаболизма протеина-практични аспекти;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Ензимологија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 у клиничкој биохемији 1-практични аспекти;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Ензимологија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 у клиничкој биохемији 2 - практични аспекти;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Ензимологија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 у клиничкој биохемији 3-практични аспекти; Угљени хидрати-практични аспекти; Липиди - практични аспекти;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Непротеинска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 xml:space="preserve"> азотна једињења-практични аспекти; </w:t>
            </w:r>
            <w:proofErr w:type="spellStart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Билирубин</w:t>
            </w:r>
            <w:proofErr w:type="spellEnd"/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-практични аспекти; Клиничко - лабораторијски аспекти анализе урина - практични аспекти; Клиничко - лабораторијски аспекти болести јетре-практични аспекти; Клиничко - лабораторијски аспекти болести бубрега-практични аспекти; Клиничко - лабораторијски аспекти инфламаторних болести-практични аспекти; Клиничко - лабораторијски аспекти поремећаја метаболизма гвожђа-практични аспекти;</w:t>
            </w:r>
          </w:p>
        </w:tc>
      </w:tr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 xml:space="preserve">Литература </w:t>
            </w:r>
          </w:p>
          <w:p>
            <w:pPr>
              <w:numPr>
                <w:ilvl w:val="0"/>
                <w:numId w:val="5"/>
              </w:numPr>
              <w:ind w:left="284" w:hanging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Rifai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N.,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Horvath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A. R., &amp;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Wittwer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C. T. (2018).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Tietz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Textbook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of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Clinical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Chemistry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and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Molecular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Diagnostics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Missouri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Elsevier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. </w:t>
            </w:r>
          </w:p>
          <w:p>
            <w:pPr>
              <w:numPr>
                <w:ilvl w:val="0"/>
                <w:numId w:val="5"/>
              </w:numPr>
              <w:ind w:left="284" w:hanging="284"/>
              <w:contextualSpacing/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Lieberman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M.,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Marks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A. D., &amp;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Marks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C. (2008).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Marksove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osnove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medicinske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biohemije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klinički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pristup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Beograd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Data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Status</w:t>
            </w:r>
            <w:proofErr w:type="spellEnd"/>
          </w:p>
          <w:p>
            <w:pPr>
              <w:numPr>
                <w:ilvl w:val="0"/>
                <w:numId w:val="5"/>
              </w:numPr>
              <w:tabs>
                <w:tab w:val="left" w:pos="567"/>
              </w:tabs>
              <w:ind w:left="284" w:hanging="284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Topić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E.,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Primorac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D., &amp;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Janković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, S. (2018).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Medicinska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biohemija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laboratorijska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medicina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kliničkoj</w:t>
            </w:r>
            <w:proofErr w:type="spellEnd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RS"/>
              </w:rPr>
              <w:t>praksi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Zagreb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Medicinska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naklada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.</w:t>
            </w:r>
          </w:p>
        </w:tc>
      </w:tr>
      <w:tr>
        <w:trPr>
          <w:trHeight w:val="227"/>
        </w:trPr>
        <w:tc>
          <w:tcPr>
            <w:tcW w:w="1643" w:type="pct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 xml:space="preserve">Број часова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Cyrl-RS" w:eastAsia="sr-Cyrl-CS"/>
              </w:rPr>
              <w:t xml:space="preserve">активне наставе: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90</w:t>
            </w:r>
          </w:p>
        </w:tc>
        <w:tc>
          <w:tcPr>
            <w:tcW w:w="1637" w:type="pct"/>
            <w:gridSpan w:val="2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Cyrl-RS" w:eastAsia="sr-Cyrl-CS"/>
              </w:rPr>
              <w:t xml:space="preserve">Теоријска настава: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45</w:t>
            </w:r>
          </w:p>
        </w:tc>
        <w:tc>
          <w:tcPr>
            <w:tcW w:w="1720" w:type="pct"/>
            <w:gridSpan w:val="2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Cyrl-RS" w:eastAsia="sr-Cyrl-CS"/>
              </w:rPr>
              <w:t xml:space="preserve">Практична настава: 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45</w:t>
            </w:r>
          </w:p>
        </w:tc>
      </w:tr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>Методе извођења наставе</w:t>
            </w:r>
          </w:p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Предавања, вежбе, рад у малим групама</w:t>
            </w:r>
          </w:p>
        </w:tc>
      </w:tr>
      <w:tr>
        <w:trPr>
          <w:trHeight w:val="227"/>
        </w:trPr>
        <w:tc>
          <w:tcPr>
            <w:tcW w:w="5000" w:type="pct"/>
            <w:gridSpan w:val="5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  <w:t>Оцена знања (максимални број поена 100)</w:t>
            </w:r>
          </w:p>
        </w:tc>
      </w:tr>
      <w:tr>
        <w:trPr>
          <w:trHeight w:val="227"/>
        </w:trPr>
        <w:tc>
          <w:tcPr>
            <w:tcW w:w="1643" w:type="pct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sr-Cyrl-RS" w:eastAsia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Cyrl-RS" w:eastAsia="sr-Cyrl-CS"/>
              </w:rPr>
              <w:t>поена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iCs/>
                <w:sz w:val="20"/>
                <w:szCs w:val="20"/>
                <w:lang w:val="sr-Cyrl-RS" w:eastAsia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sr-Cyrl-RS" w:eastAsia="sr-Cyrl-CS"/>
              </w:rPr>
              <w:t>поена</w:t>
            </w:r>
          </w:p>
        </w:tc>
      </w:tr>
      <w:tr>
        <w:trPr>
          <w:trHeight w:val="227"/>
        </w:trPr>
        <w:tc>
          <w:tcPr>
            <w:tcW w:w="1643" w:type="pct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sr-Cyrl-CS"/>
              </w:rPr>
            </w:pPr>
          </w:p>
        </w:tc>
      </w:tr>
      <w:tr>
        <w:trPr>
          <w:trHeight w:val="227"/>
        </w:trPr>
        <w:tc>
          <w:tcPr>
            <w:tcW w:w="1643" w:type="pct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sr-Cyrl-CS"/>
              </w:rPr>
              <w:t>30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iCs/>
                <w:sz w:val="20"/>
                <w:szCs w:val="20"/>
                <w:lang w:val="sr-Cyrl-RS" w:eastAsia="sr-Cyrl-CS"/>
              </w:rPr>
              <w:t>усмени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 w:eastAsia="sr-Cyrl-CS"/>
              </w:rPr>
              <w:t>70</w:t>
            </w:r>
          </w:p>
        </w:tc>
      </w:tr>
      <w:tr>
        <w:trPr>
          <w:trHeight w:val="227"/>
        </w:trPr>
        <w:tc>
          <w:tcPr>
            <w:tcW w:w="1643" w:type="pct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>
            <w:pPr>
              <w:tabs>
                <w:tab w:val="left" w:pos="567"/>
              </w:tabs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практични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</w:p>
        </w:tc>
      </w:tr>
      <w:tr>
        <w:trPr>
          <w:trHeight w:val="227"/>
        </w:trPr>
        <w:tc>
          <w:tcPr>
            <w:tcW w:w="1643" w:type="pct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RS" w:eastAsia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sr-Cyrl-RS" w:eastAsia="sr-Cyrl-CS"/>
              </w:rPr>
            </w:pP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>
            <w:pPr>
              <w:tabs>
                <w:tab w:val="left" w:pos="567"/>
              </w:tabs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r-Cyrl-RS" w:eastAsia="sr-Cyrl-CS"/>
              </w:rPr>
            </w:pPr>
          </w:p>
        </w:tc>
      </w:tr>
    </w:tbl>
    <w:p/>
    <w:sectPr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D7B32"/>
    <w:multiLevelType w:val="hybridMultilevel"/>
    <w:tmpl w:val="0EAE9F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80332"/>
    <w:multiLevelType w:val="hybridMultilevel"/>
    <w:tmpl w:val="D25A76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FB11DB"/>
    <w:multiLevelType w:val="hybridMultilevel"/>
    <w:tmpl w:val="7FC073DC"/>
    <w:lvl w:ilvl="0" w:tplc="0C1A000F">
      <w:start w:val="1"/>
      <w:numFmt w:val="decimal"/>
      <w:lvlText w:val="%1."/>
      <w:lvlJc w:val="left"/>
      <w:pPr>
        <w:ind w:left="720" w:hanging="360"/>
      </w:p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69249C"/>
    <w:multiLevelType w:val="hybridMultilevel"/>
    <w:tmpl w:val="DC928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500E6"/>
    <w:multiLevelType w:val="hybridMultilevel"/>
    <w:tmpl w:val="36B421DA"/>
    <w:lvl w:ilvl="0" w:tplc="FC968A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1A0019" w:tentative="1">
      <w:start w:val="1"/>
      <w:numFmt w:val="lowerLetter"/>
      <w:lvlText w:val="%2."/>
      <w:lvlJc w:val="left"/>
      <w:pPr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Cyrl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33672-5827-42EC-87FF-586E21A9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3215</Characters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2022-09-08T06:43:00Z</cp:lastPrinted>
  <dcterms:created xsi:type="dcterms:W3CDTF">2024-04-09T20:16:00Z</dcterms:created>
  <dcterms:modified xsi:type="dcterms:W3CDTF">2025-06-05T15:10:00Z</dcterms:modified>
</cp:coreProperties>
</file>