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1869"/>
        <w:gridCol w:w="1215"/>
        <w:gridCol w:w="1789"/>
        <w:gridCol w:w="1636"/>
      </w:tblGrid>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color w:val="000000" w:themeColor="text1"/>
              </w:rPr>
              <w:br w:type="page"/>
            </w:r>
            <w:r w:rsidRPr="003F447B">
              <w:rPr>
                <w:b/>
                <w:bCs/>
                <w:color w:val="000000" w:themeColor="text1"/>
              </w:rPr>
              <w:t xml:space="preserve">Study program: </w:t>
            </w:r>
            <w:r w:rsidRPr="003F447B">
              <w:rPr>
                <w:bCs/>
                <w:color w:val="000000" w:themeColor="text1"/>
              </w:rPr>
              <w:t>Integrated academic studies of pharmacy</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color w:val="000000" w:themeColor="text1"/>
              </w:rPr>
            </w:pPr>
            <w:r w:rsidRPr="003F447B">
              <w:rPr>
                <w:b/>
                <w:bCs/>
                <w:color w:val="000000" w:themeColor="text1"/>
              </w:rPr>
              <w:t xml:space="preserve">Course unit: </w:t>
            </w:r>
            <w:r w:rsidRPr="003F447B">
              <w:rPr>
                <w:color w:val="000000" w:themeColor="text1"/>
              </w:rPr>
              <w:t>Fundam</w:t>
            </w:r>
            <w:r>
              <w:rPr>
                <w:color w:val="000000" w:themeColor="text1"/>
              </w:rPr>
              <w:t>entals of human pathophysiology</w:t>
            </w:r>
          </w:p>
        </w:tc>
      </w:tr>
      <w:tr w:rsidR="00486B39" w:rsidRPr="003F447B" w:rsidTr="002073EA">
        <w:trPr>
          <w:trHeight w:val="227"/>
        </w:trPr>
        <w:tc>
          <w:tcPr>
            <w:tcW w:w="5000" w:type="pct"/>
            <w:gridSpan w:val="5"/>
            <w:vAlign w:val="center"/>
          </w:tcPr>
          <w:p w:rsidR="00486B39" w:rsidRPr="00A75C15" w:rsidRDefault="00486B39" w:rsidP="002073EA">
            <w:r>
              <w:rPr>
                <w:b/>
                <w:bCs/>
                <w:lang w:val="sr-Cyrl-CS"/>
              </w:rPr>
              <w:t>Teacher</w:t>
            </w:r>
            <w:r>
              <w:rPr>
                <w:b/>
                <w:bCs/>
              </w:rPr>
              <w:t>/teachers</w:t>
            </w:r>
            <w:r w:rsidRPr="0094610D">
              <w:rPr>
                <w:b/>
                <w:bCs/>
                <w:lang w:val="sr-Cyrl-CS"/>
              </w:rPr>
              <w:t>:</w:t>
            </w:r>
            <w:r>
              <w:rPr>
                <w:b/>
                <w:bCs/>
                <w:lang w:val="sr-Cyrl-CS"/>
              </w:rPr>
              <w:t xml:space="preserve"> </w:t>
            </w:r>
            <w:r w:rsidRPr="001E3C9F">
              <w:rPr>
                <w:bCs/>
                <w:lang w:val="sr-Cyrl-CS"/>
              </w:rPr>
              <w:t>Jovanović Zorica</w:t>
            </w:r>
            <w:r>
              <w:rPr>
                <w:bCs/>
                <w:lang w:val="sr-Cyrl-CS"/>
              </w:rPr>
              <w:t xml:space="preserve">, </w:t>
            </w:r>
            <w:r w:rsidRPr="001E3C9F">
              <w:rPr>
                <w:bCs/>
                <w:lang w:val="sr-Cyrl-CS"/>
              </w:rPr>
              <w:t>Mihaljević Olgica</w:t>
            </w:r>
            <w:r>
              <w:rPr>
                <w:bCs/>
                <w:lang w:val="sr-Cyrl-CS"/>
              </w:rPr>
              <w:t xml:space="preserve">, </w:t>
            </w:r>
            <w:r w:rsidRPr="001E3C9F">
              <w:rPr>
                <w:bCs/>
                <w:lang w:val="sr-Cyrl-CS"/>
              </w:rPr>
              <w:t>Zdravković Nemanja</w:t>
            </w:r>
            <w:r>
              <w:rPr>
                <w:bCs/>
                <w:lang w:val="sr-Cyrl-CS"/>
              </w:rPr>
              <w:t xml:space="preserve">, </w:t>
            </w:r>
            <w:r w:rsidRPr="001E3C9F">
              <w:rPr>
                <w:bCs/>
                <w:lang w:val="sr-Cyrl-CS"/>
              </w:rPr>
              <w:t>Stojanović Bojana</w:t>
            </w:r>
            <w:r>
              <w:rPr>
                <w:bCs/>
                <w:lang w:val="sr-Cyrl-CS"/>
              </w:rPr>
              <w:t xml:space="preserve">, </w:t>
            </w:r>
            <w:r w:rsidRPr="001E3C9F">
              <w:rPr>
                <w:bCs/>
                <w:lang w:val="sr-Cyrl-CS"/>
              </w:rPr>
              <w:t>Jeftić Ilija</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color w:val="000000" w:themeColor="text1"/>
              </w:rPr>
            </w:pPr>
            <w:r w:rsidRPr="003F447B">
              <w:rPr>
                <w:b/>
                <w:bCs/>
                <w:color w:val="000000" w:themeColor="text1"/>
              </w:rPr>
              <w:t xml:space="preserve">Course status: </w:t>
            </w:r>
            <w:r w:rsidRPr="003F447B">
              <w:rPr>
                <w:bCs/>
                <w:color w:val="000000" w:themeColor="text1"/>
              </w:rPr>
              <w:t>Mandatory</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color w:val="000000" w:themeColor="text1"/>
              </w:rPr>
            </w:pPr>
            <w:r w:rsidRPr="003F447B">
              <w:rPr>
                <w:b/>
                <w:bCs/>
                <w:color w:val="000000" w:themeColor="text1"/>
              </w:rPr>
              <w:t xml:space="preserve">ECTS: </w:t>
            </w:r>
            <w:r w:rsidRPr="003F447B">
              <w:rPr>
                <w:bCs/>
                <w:color w:val="000000" w:themeColor="text1"/>
              </w:rPr>
              <w:t>5</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 xml:space="preserve">Prerequisites: </w:t>
            </w:r>
            <w:r w:rsidRPr="003F447B">
              <w:rPr>
                <w:color w:val="000000" w:themeColor="text1"/>
              </w:rPr>
              <w:t>Enrolled in III semester</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 xml:space="preserve">Course unit objective </w:t>
            </w:r>
          </w:p>
          <w:p w:rsidR="00486B39" w:rsidRPr="003F447B" w:rsidRDefault="00486B39" w:rsidP="002073EA">
            <w:pPr>
              <w:tabs>
                <w:tab w:val="left" w:pos="567"/>
              </w:tabs>
              <w:jc w:val="both"/>
              <w:rPr>
                <w:b/>
                <w:bCs/>
                <w:color w:val="000000" w:themeColor="text1"/>
              </w:rPr>
            </w:pPr>
            <w:r w:rsidRPr="003F447B">
              <w:rPr>
                <w:color w:val="000000" w:themeColor="text1"/>
              </w:rPr>
              <w:t>The main goal of the course is to acquaint students with the causes and mechanisms of disease (including expected changes in laboratory indicators of organ function), as well as treatment options, based on understanding the pathophysiological mechanisms and target points for drug action.</w:t>
            </w:r>
          </w:p>
        </w:tc>
      </w:tr>
      <w:tr w:rsidR="00486B39" w:rsidRPr="003F447B" w:rsidTr="002073EA">
        <w:trPr>
          <w:trHeight w:val="227"/>
        </w:trPr>
        <w:tc>
          <w:tcPr>
            <w:tcW w:w="5000" w:type="pct"/>
            <w:gridSpan w:val="5"/>
            <w:vAlign w:val="center"/>
          </w:tcPr>
          <w:p w:rsidR="00486B39" w:rsidRPr="003F447B" w:rsidRDefault="00486B39" w:rsidP="002073EA">
            <w:pPr>
              <w:pStyle w:val="TableParagraph"/>
              <w:ind w:left="0"/>
              <w:jc w:val="both"/>
              <w:rPr>
                <w:rFonts w:eastAsia="Calibri"/>
                <w:b/>
                <w:bCs/>
                <w:color w:val="000000" w:themeColor="text1"/>
                <w:sz w:val="20"/>
                <w:szCs w:val="20"/>
                <w:lang w:val="sr-Cyrl-CS"/>
              </w:rPr>
            </w:pPr>
            <w:r w:rsidRPr="003F447B">
              <w:rPr>
                <w:rFonts w:eastAsia="Calibri"/>
                <w:b/>
                <w:bCs/>
                <w:color w:val="000000" w:themeColor="text1"/>
                <w:sz w:val="20"/>
                <w:szCs w:val="20"/>
                <w:lang w:val="sr-Cyrl-CS"/>
              </w:rPr>
              <w:t xml:space="preserve">Learning outcomes of course unit </w:t>
            </w:r>
          </w:p>
          <w:p w:rsidR="00486B39" w:rsidRPr="003F447B" w:rsidRDefault="00486B39" w:rsidP="002073EA">
            <w:pPr>
              <w:pStyle w:val="TableParagraph"/>
              <w:ind w:left="0"/>
              <w:jc w:val="both"/>
              <w:rPr>
                <w:color w:val="000000" w:themeColor="text1"/>
                <w:sz w:val="20"/>
                <w:szCs w:val="20"/>
              </w:rPr>
            </w:pPr>
            <w:r w:rsidRPr="00AD6A69">
              <w:rPr>
                <w:color w:val="000000" w:themeColor="text1"/>
                <w:sz w:val="20"/>
                <w:szCs w:val="20"/>
              </w:rPr>
              <w:t xml:space="preserve">Upon completion of the course in Fundamentals of human pathophysiology, the student is expected to acquire basic knowledge of: the main etiological factors of pathophysiological processes; molecular and cellular basis of disorders in various organs and organ systems; mechanisms of cell damage and death, tumor formation, inflammatory reactions; </w:t>
            </w:r>
            <w:proofErr w:type="spellStart"/>
            <w:r w:rsidRPr="00AD6A69">
              <w:rPr>
                <w:color w:val="000000" w:themeColor="text1"/>
                <w:sz w:val="20"/>
                <w:szCs w:val="20"/>
              </w:rPr>
              <w:t>etiopathogenesis</w:t>
            </w:r>
            <w:proofErr w:type="spellEnd"/>
            <w:r w:rsidRPr="00AD6A69">
              <w:rPr>
                <w:color w:val="000000" w:themeColor="text1"/>
                <w:sz w:val="20"/>
                <w:szCs w:val="20"/>
              </w:rPr>
              <w:t xml:space="preserve"> of basic metabolic and functional disorders; the interconnection and impact of the pathophysiological process in one organ on other organs and the organism as a whole; the significance of laboratory and functional tests for the diagnosis and </w:t>
            </w:r>
            <w:proofErr w:type="spellStart"/>
            <w:r w:rsidRPr="00AD6A69">
              <w:rPr>
                <w:color w:val="000000" w:themeColor="text1"/>
                <w:sz w:val="20"/>
                <w:szCs w:val="20"/>
              </w:rPr>
              <w:t>etiopathogenetically</w:t>
            </w:r>
            <w:proofErr w:type="spellEnd"/>
            <w:r w:rsidRPr="00AD6A69">
              <w:rPr>
                <w:color w:val="000000" w:themeColor="text1"/>
                <w:sz w:val="20"/>
                <w:szCs w:val="20"/>
              </w:rPr>
              <w:t xml:space="preserve"> conditioned therapy of various diseases; basic mechanisms of action of chemical agents and drugs; possible sites of therapeutic interventions. At the end of the course in Fundamentals of human pathophysiology, the student is expected to master the skills of applying the acquired theoretical knowledge in recognizing specific diseases and their causal factors.</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 xml:space="preserve">Course unit contents </w:t>
            </w:r>
          </w:p>
          <w:p w:rsidR="00486B39" w:rsidRPr="003F447B" w:rsidRDefault="00486B39" w:rsidP="002073EA">
            <w:pPr>
              <w:tabs>
                <w:tab w:val="left" w:pos="567"/>
              </w:tabs>
              <w:jc w:val="both"/>
              <w:rPr>
                <w:i/>
                <w:color w:val="000000" w:themeColor="text1"/>
              </w:rPr>
            </w:pPr>
            <w:r w:rsidRPr="003F447B">
              <w:rPr>
                <w:i/>
                <w:color w:val="000000" w:themeColor="text1"/>
              </w:rPr>
              <w:t>Theoretical classes</w:t>
            </w:r>
          </w:p>
          <w:p w:rsidR="00486B39" w:rsidRPr="003F447B" w:rsidRDefault="00486B39" w:rsidP="002073EA">
            <w:pPr>
              <w:tabs>
                <w:tab w:val="left" w:pos="567"/>
              </w:tabs>
              <w:jc w:val="both"/>
              <w:rPr>
                <w:color w:val="000000" w:themeColor="text1"/>
              </w:rPr>
            </w:pPr>
            <w:r w:rsidRPr="003F447B">
              <w:rPr>
                <w:color w:val="000000" w:themeColor="text1"/>
              </w:rPr>
              <w:t xml:space="preserve">Introduction to pathological physiology. Health and disease. Homeostasis disorders. Adaptation, aging and cell death. Malignant cell transformation. Non-specific and specific protection of the organism. Hypersensitivity reactions and autoimmunity. Pathophysiology of inflammation and infection. Exogenous intoxications. Local circulation disorders. </w:t>
            </w:r>
            <w:proofErr w:type="spellStart"/>
            <w:r w:rsidRPr="003F447B">
              <w:rPr>
                <w:color w:val="000000" w:themeColor="text1"/>
              </w:rPr>
              <w:t>Etiopathogenesis</w:t>
            </w:r>
            <w:proofErr w:type="spellEnd"/>
            <w:r w:rsidRPr="003F447B">
              <w:rPr>
                <w:color w:val="000000" w:themeColor="text1"/>
              </w:rPr>
              <w:t xml:space="preserve"> of shock syndrome. Disorders of water and mineral metabolism. Disorders of the metabolism of organic substances. Disorders of energy metabolism. Disorders vitamin metabolism. Pathophysiology of cardiovascular, respiratory, hematopoietic, endocrine, gastrointestinal, urinary, nervous system and bone diseases.</w:t>
            </w:r>
          </w:p>
          <w:p w:rsidR="00486B39" w:rsidRPr="003F447B" w:rsidRDefault="00486B39" w:rsidP="002073EA">
            <w:pPr>
              <w:tabs>
                <w:tab w:val="left" w:pos="567"/>
              </w:tabs>
              <w:jc w:val="both"/>
              <w:rPr>
                <w:i/>
                <w:color w:val="000000" w:themeColor="text1"/>
              </w:rPr>
            </w:pPr>
            <w:r w:rsidRPr="003F447B">
              <w:rPr>
                <w:i/>
                <w:color w:val="000000" w:themeColor="text1"/>
              </w:rPr>
              <w:t>Practical teaching</w:t>
            </w:r>
          </w:p>
          <w:p w:rsidR="00486B39" w:rsidRPr="003F447B" w:rsidRDefault="00486B39" w:rsidP="002073EA">
            <w:pPr>
              <w:tabs>
                <w:tab w:val="left" w:pos="567"/>
              </w:tabs>
              <w:jc w:val="both"/>
              <w:rPr>
                <w:color w:val="000000" w:themeColor="text1"/>
              </w:rPr>
            </w:pPr>
            <w:r w:rsidRPr="003F447B">
              <w:rPr>
                <w:color w:val="000000" w:themeColor="text1"/>
              </w:rPr>
              <w:t xml:space="preserve">Presentation of clinical examples: The influence of heredity, exogenous factors and risk factors in the </w:t>
            </w:r>
            <w:proofErr w:type="spellStart"/>
            <w:r w:rsidRPr="003F447B">
              <w:rPr>
                <w:color w:val="000000" w:themeColor="text1"/>
              </w:rPr>
              <w:t>etiopathogenesis</w:t>
            </w:r>
            <w:proofErr w:type="spellEnd"/>
            <w:r w:rsidRPr="003F447B">
              <w:rPr>
                <w:color w:val="000000" w:themeColor="text1"/>
              </w:rPr>
              <w:t xml:space="preserve"> of various pathological conditions. Homeostasis disorders. Adaptation, aging and cell death. Malignant cell transformation. Tumor markers in the diagnosis of malignant diseases. Non-specific and specific protection of the organism. Hypersensitivity reactions and autoimmunity. </w:t>
            </w:r>
            <w:proofErr w:type="spellStart"/>
            <w:r w:rsidRPr="003F447B">
              <w:rPr>
                <w:color w:val="000000" w:themeColor="text1"/>
              </w:rPr>
              <w:t>Etiopathogenesis</w:t>
            </w:r>
            <w:proofErr w:type="spellEnd"/>
            <w:r w:rsidRPr="003F447B">
              <w:rPr>
                <w:color w:val="000000" w:themeColor="text1"/>
              </w:rPr>
              <w:t xml:space="preserve"> of acute and chronic inflammation. Laboratory diagnosis of inflammation. Acute and chronic intoxications. Local circulation disorders. </w:t>
            </w:r>
            <w:proofErr w:type="spellStart"/>
            <w:r w:rsidRPr="003F447B">
              <w:rPr>
                <w:color w:val="000000" w:themeColor="text1"/>
              </w:rPr>
              <w:t>Etiopathogenesis</w:t>
            </w:r>
            <w:proofErr w:type="spellEnd"/>
            <w:r w:rsidRPr="003F447B">
              <w:rPr>
                <w:color w:val="000000" w:themeColor="text1"/>
              </w:rPr>
              <w:t xml:space="preserve"> of shock syndrome. Laboratory diagnostics disorders of water, sodium and potassium metabolism; interpretation of acid-base balance disorders. Laboratory diagnostics of protein, carbohydrate and fat metabolism disorders: interpretation </w:t>
            </w:r>
            <w:proofErr w:type="spellStart"/>
            <w:r w:rsidRPr="003F447B">
              <w:rPr>
                <w:color w:val="000000" w:themeColor="text1"/>
              </w:rPr>
              <w:t>lipidogram</w:t>
            </w:r>
            <w:proofErr w:type="spellEnd"/>
            <w:r w:rsidRPr="003F447B">
              <w:rPr>
                <w:color w:val="000000" w:themeColor="text1"/>
              </w:rPr>
              <w:t xml:space="preserve"> and OGTT. Clinical examples of pathophysiology of cardiovascular, respiratory, hematopoietic, endocrine, gastrointestinal, urinary, nervous system and bone diseases.</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 xml:space="preserve">Literature </w:t>
            </w:r>
          </w:p>
          <w:p w:rsidR="00486B39" w:rsidRPr="003F447B" w:rsidRDefault="00486B39" w:rsidP="002073EA">
            <w:pPr>
              <w:pStyle w:val="ListParagraph"/>
              <w:numPr>
                <w:ilvl w:val="0"/>
                <w:numId w:val="3"/>
              </w:numPr>
              <w:ind w:left="284" w:hanging="284"/>
              <w:jc w:val="both"/>
              <w:rPr>
                <w:color w:val="000000" w:themeColor="text1"/>
              </w:rPr>
            </w:pPr>
            <w:proofErr w:type="spellStart"/>
            <w:r>
              <w:t>Copstead</w:t>
            </w:r>
            <w:proofErr w:type="spellEnd"/>
            <w:r>
              <w:t xml:space="preserve"> LE, </w:t>
            </w:r>
            <w:proofErr w:type="spellStart"/>
            <w:r>
              <w:t>Banasik</w:t>
            </w:r>
            <w:proofErr w:type="spellEnd"/>
            <w:r>
              <w:t xml:space="preserve"> JL. Pathophysiology. 4th ed. St. Louis: Elsevier; 2010.</w:t>
            </w:r>
          </w:p>
          <w:p w:rsidR="00486B39" w:rsidRPr="003F447B" w:rsidRDefault="00486B39" w:rsidP="002073EA">
            <w:pPr>
              <w:pStyle w:val="ListParagraph"/>
              <w:numPr>
                <w:ilvl w:val="0"/>
                <w:numId w:val="3"/>
              </w:numPr>
              <w:shd w:val="clear" w:color="auto" w:fill="FFFFFF"/>
              <w:ind w:left="284" w:hanging="284"/>
              <w:jc w:val="both"/>
              <w:rPr>
                <w:color w:val="000000" w:themeColor="text1"/>
              </w:rPr>
            </w:pPr>
            <w:proofErr w:type="spellStart"/>
            <w:r>
              <w:t>McCance</w:t>
            </w:r>
            <w:proofErr w:type="spellEnd"/>
            <w:r>
              <w:t xml:space="preserve"> KL, </w:t>
            </w:r>
            <w:proofErr w:type="spellStart"/>
            <w:r>
              <w:t>Huether</w:t>
            </w:r>
            <w:proofErr w:type="spellEnd"/>
            <w:r>
              <w:t xml:space="preserve"> SE. Pathophysiology: The Biologic Basis for Disease in Adults and Children. 8th ed. St. Louis: Elsevier; 2016.</w:t>
            </w:r>
          </w:p>
        </w:tc>
      </w:tr>
      <w:tr w:rsidR="00486B39" w:rsidRPr="003F447B" w:rsidTr="002073EA">
        <w:trPr>
          <w:trHeight w:val="227"/>
        </w:trPr>
        <w:tc>
          <w:tcPr>
            <w:tcW w:w="1733" w:type="pct"/>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 xml:space="preserve">Number of active teaching classes: </w:t>
            </w:r>
            <w:r w:rsidRPr="003F447B">
              <w:rPr>
                <w:bCs/>
                <w:color w:val="000000" w:themeColor="text1"/>
              </w:rPr>
              <w:t>60</w:t>
            </w:r>
          </w:p>
        </w:tc>
        <w:tc>
          <w:tcPr>
            <w:tcW w:w="1548" w:type="pct"/>
            <w:gridSpan w:val="2"/>
            <w:vAlign w:val="center"/>
          </w:tcPr>
          <w:p w:rsidR="00486B39" w:rsidRPr="003F447B" w:rsidRDefault="00486B39" w:rsidP="002073EA">
            <w:pPr>
              <w:tabs>
                <w:tab w:val="left" w:pos="567"/>
              </w:tabs>
              <w:jc w:val="both"/>
              <w:rPr>
                <w:b/>
                <w:bCs/>
                <w:color w:val="000000" w:themeColor="text1"/>
              </w:rPr>
            </w:pPr>
            <w:r w:rsidRPr="003F447B">
              <w:rPr>
                <w:b/>
                <w:color w:val="000000" w:themeColor="text1"/>
              </w:rPr>
              <w:t xml:space="preserve">Lectures: </w:t>
            </w:r>
            <w:r w:rsidRPr="003F447B">
              <w:rPr>
                <w:color w:val="000000" w:themeColor="text1"/>
              </w:rPr>
              <w:t>30</w:t>
            </w:r>
          </w:p>
        </w:tc>
        <w:tc>
          <w:tcPr>
            <w:tcW w:w="1719" w:type="pct"/>
            <w:gridSpan w:val="2"/>
            <w:vAlign w:val="center"/>
          </w:tcPr>
          <w:p w:rsidR="00486B39" w:rsidRPr="003F447B" w:rsidRDefault="00486B39" w:rsidP="002073EA">
            <w:pPr>
              <w:tabs>
                <w:tab w:val="left" w:pos="567"/>
              </w:tabs>
              <w:jc w:val="both"/>
              <w:rPr>
                <w:b/>
                <w:bCs/>
                <w:color w:val="000000" w:themeColor="text1"/>
              </w:rPr>
            </w:pPr>
            <w:r w:rsidRPr="003F447B">
              <w:rPr>
                <w:b/>
                <w:color w:val="000000" w:themeColor="text1"/>
              </w:rPr>
              <w:t xml:space="preserve">Practice: </w:t>
            </w:r>
            <w:r w:rsidRPr="003F447B">
              <w:rPr>
                <w:color w:val="000000" w:themeColor="text1"/>
              </w:rPr>
              <w:t>30</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 xml:space="preserve">Teaching methods </w:t>
            </w:r>
          </w:p>
          <w:p w:rsidR="00486B39" w:rsidRPr="003F447B" w:rsidRDefault="00486B39" w:rsidP="002073EA">
            <w:pPr>
              <w:tabs>
                <w:tab w:val="left" w:pos="567"/>
              </w:tabs>
              <w:jc w:val="both"/>
              <w:rPr>
                <w:color w:val="000000" w:themeColor="text1"/>
              </w:rPr>
            </w:pPr>
            <w:r w:rsidRPr="003F447B">
              <w:rPr>
                <w:color w:val="000000" w:themeColor="text1"/>
              </w:rPr>
              <w:t>Lectures, practical work, work in small groups.</w:t>
            </w:r>
          </w:p>
        </w:tc>
      </w:tr>
      <w:tr w:rsidR="00486B39" w:rsidRPr="003F447B" w:rsidTr="002073EA">
        <w:trPr>
          <w:trHeight w:val="227"/>
        </w:trPr>
        <w:tc>
          <w:tcPr>
            <w:tcW w:w="5000" w:type="pct"/>
            <w:gridSpan w:val="5"/>
            <w:vAlign w:val="center"/>
          </w:tcPr>
          <w:p w:rsidR="00486B39" w:rsidRPr="003F447B" w:rsidRDefault="00486B39" w:rsidP="002073EA">
            <w:pPr>
              <w:tabs>
                <w:tab w:val="left" w:pos="567"/>
              </w:tabs>
              <w:jc w:val="both"/>
              <w:rPr>
                <w:b/>
                <w:bCs/>
                <w:color w:val="000000" w:themeColor="text1"/>
              </w:rPr>
            </w:pPr>
            <w:r w:rsidRPr="003F447B">
              <w:rPr>
                <w:b/>
                <w:bCs/>
                <w:color w:val="000000" w:themeColor="text1"/>
              </w:rPr>
              <w:t>Examination methods (maximum 100 points)</w:t>
            </w:r>
          </w:p>
        </w:tc>
      </w:tr>
      <w:tr w:rsidR="00486B39" w:rsidRPr="003F447B" w:rsidTr="002073EA">
        <w:trPr>
          <w:trHeight w:val="227"/>
        </w:trPr>
        <w:tc>
          <w:tcPr>
            <w:tcW w:w="1733" w:type="pct"/>
          </w:tcPr>
          <w:p w:rsidR="00486B39" w:rsidRPr="003F447B" w:rsidRDefault="00486B39" w:rsidP="002073EA">
            <w:pPr>
              <w:jc w:val="both"/>
              <w:rPr>
                <w:b/>
                <w:color w:val="000000" w:themeColor="text1"/>
              </w:rPr>
            </w:pPr>
            <w:r w:rsidRPr="003F447B">
              <w:rPr>
                <w:b/>
                <w:color w:val="000000" w:themeColor="text1"/>
              </w:rPr>
              <w:t>Exam prerequisites</w:t>
            </w:r>
          </w:p>
        </w:tc>
        <w:tc>
          <w:tcPr>
            <w:tcW w:w="938" w:type="pct"/>
          </w:tcPr>
          <w:p w:rsidR="00486B39" w:rsidRPr="003F447B" w:rsidRDefault="00486B39" w:rsidP="002073EA">
            <w:pPr>
              <w:jc w:val="both"/>
              <w:rPr>
                <w:b/>
                <w:color w:val="000000" w:themeColor="text1"/>
              </w:rPr>
            </w:pPr>
            <w:r w:rsidRPr="003F447B">
              <w:rPr>
                <w:b/>
                <w:color w:val="000000" w:themeColor="text1"/>
              </w:rPr>
              <w:t>No. of points:</w:t>
            </w:r>
          </w:p>
        </w:tc>
        <w:tc>
          <w:tcPr>
            <w:tcW w:w="1508" w:type="pct"/>
            <w:gridSpan w:val="2"/>
            <w:shd w:val="clear" w:color="auto" w:fill="auto"/>
          </w:tcPr>
          <w:p w:rsidR="00486B39" w:rsidRPr="003F447B" w:rsidRDefault="00486B39" w:rsidP="002073EA">
            <w:pPr>
              <w:jc w:val="both"/>
              <w:rPr>
                <w:b/>
                <w:color w:val="000000" w:themeColor="text1"/>
              </w:rPr>
            </w:pPr>
            <w:r w:rsidRPr="003F447B">
              <w:rPr>
                <w:b/>
                <w:color w:val="000000" w:themeColor="text1"/>
              </w:rPr>
              <w:t>Final exam</w:t>
            </w:r>
          </w:p>
        </w:tc>
        <w:tc>
          <w:tcPr>
            <w:tcW w:w="821" w:type="pct"/>
            <w:shd w:val="clear" w:color="auto" w:fill="auto"/>
          </w:tcPr>
          <w:p w:rsidR="00486B39" w:rsidRPr="003F447B" w:rsidRDefault="00486B39" w:rsidP="002073EA">
            <w:pPr>
              <w:jc w:val="both"/>
              <w:rPr>
                <w:b/>
                <w:color w:val="000000" w:themeColor="text1"/>
              </w:rPr>
            </w:pPr>
            <w:r w:rsidRPr="003F447B">
              <w:rPr>
                <w:b/>
                <w:color w:val="000000" w:themeColor="text1"/>
              </w:rPr>
              <w:t>No. of points:</w:t>
            </w:r>
          </w:p>
        </w:tc>
      </w:tr>
      <w:tr w:rsidR="00486B39" w:rsidRPr="003F447B" w:rsidTr="002073EA">
        <w:trPr>
          <w:trHeight w:val="227"/>
        </w:trPr>
        <w:tc>
          <w:tcPr>
            <w:tcW w:w="1733" w:type="pct"/>
          </w:tcPr>
          <w:p w:rsidR="00486B39" w:rsidRPr="003F447B" w:rsidRDefault="00486B39" w:rsidP="002073EA">
            <w:pPr>
              <w:jc w:val="both"/>
              <w:rPr>
                <w:color w:val="000000" w:themeColor="text1"/>
              </w:rPr>
            </w:pPr>
            <w:r w:rsidRPr="003F447B">
              <w:rPr>
                <w:color w:val="000000" w:themeColor="text1"/>
              </w:rPr>
              <w:t>student’s activity during lectures</w:t>
            </w:r>
          </w:p>
        </w:tc>
        <w:tc>
          <w:tcPr>
            <w:tcW w:w="938" w:type="pct"/>
          </w:tcPr>
          <w:p w:rsidR="00486B39" w:rsidRPr="003F447B" w:rsidRDefault="00486B39" w:rsidP="002073EA">
            <w:pPr>
              <w:jc w:val="both"/>
              <w:rPr>
                <w:color w:val="000000" w:themeColor="text1"/>
              </w:rPr>
            </w:pPr>
            <w:r w:rsidRPr="003F447B">
              <w:rPr>
                <w:color w:val="000000" w:themeColor="text1"/>
              </w:rPr>
              <w:t>30</w:t>
            </w:r>
          </w:p>
        </w:tc>
        <w:tc>
          <w:tcPr>
            <w:tcW w:w="1508" w:type="pct"/>
            <w:gridSpan w:val="2"/>
            <w:shd w:val="clear" w:color="auto" w:fill="auto"/>
          </w:tcPr>
          <w:p w:rsidR="00486B39" w:rsidRPr="003F447B" w:rsidRDefault="00486B39" w:rsidP="002073EA">
            <w:pPr>
              <w:jc w:val="both"/>
              <w:rPr>
                <w:color w:val="000000" w:themeColor="text1"/>
              </w:rPr>
            </w:pPr>
            <w:r w:rsidRPr="003F447B">
              <w:rPr>
                <w:color w:val="000000" w:themeColor="text1"/>
              </w:rPr>
              <w:t>written exam</w:t>
            </w:r>
          </w:p>
        </w:tc>
        <w:tc>
          <w:tcPr>
            <w:tcW w:w="821" w:type="pct"/>
            <w:shd w:val="clear" w:color="auto" w:fill="auto"/>
          </w:tcPr>
          <w:p w:rsidR="00486B39" w:rsidRPr="003F447B" w:rsidRDefault="00486B39" w:rsidP="002073EA">
            <w:pPr>
              <w:jc w:val="both"/>
              <w:rPr>
                <w:color w:val="000000" w:themeColor="text1"/>
              </w:rPr>
            </w:pPr>
          </w:p>
        </w:tc>
      </w:tr>
      <w:tr w:rsidR="00486B39" w:rsidRPr="003F447B" w:rsidTr="002073EA">
        <w:trPr>
          <w:trHeight w:val="227"/>
        </w:trPr>
        <w:tc>
          <w:tcPr>
            <w:tcW w:w="1733" w:type="pct"/>
          </w:tcPr>
          <w:p w:rsidR="00486B39" w:rsidRPr="003F447B" w:rsidRDefault="00486B39" w:rsidP="002073EA">
            <w:pPr>
              <w:jc w:val="both"/>
              <w:rPr>
                <w:color w:val="000000" w:themeColor="text1"/>
              </w:rPr>
            </w:pPr>
            <w:r w:rsidRPr="003F447B">
              <w:rPr>
                <w:color w:val="000000" w:themeColor="text1"/>
              </w:rPr>
              <w:t>practical classes</w:t>
            </w:r>
          </w:p>
        </w:tc>
        <w:tc>
          <w:tcPr>
            <w:tcW w:w="938" w:type="pct"/>
          </w:tcPr>
          <w:p w:rsidR="00486B39" w:rsidRPr="003F447B" w:rsidRDefault="00486B39" w:rsidP="002073EA">
            <w:pPr>
              <w:jc w:val="both"/>
              <w:rPr>
                <w:color w:val="000000" w:themeColor="text1"/>
              </w:rPr>
            </w:pPr>
          </w:p>
        </w:tc>
        <w:tc>
          <w:tcPr>
            <w:tcW w:w="1508" w:type="pct"/>
            <w:gridSpan w:val="2"/>
            <w:shd w:val="clear" w:color="auto" w:fill="auto"/>
          </w:tcPr>
          <w:p w:rsidR="00486B39" w:rsidRPr="003F447B" w:rsidRDefault="00486B39" w:rsidP="002073EA">
            <w:pPr>
              <w:jc w:val="both"/>
              <w:rPr>
                <w:color w:val="000000" w:themeColor="text1"/>
              </w:rPr>
            </w:pPr>
            <w:r w:rsidRPr="003F447B">
              <w:rPr>
                <w:color w:val="000000" w:themeColor="text1"/>
              </w:rPr>
              <w:t>practical exam</w:t>
            </w:r>
          </w:p>
        </w:tc>
        <w:tc>
          <w:tcPr>
            <w:tcW w:w="821" w:type="pct"/>
            <w:shd w:val="clear" w:color="auto" w:fill="auto"/>
          </w:tcPr>
          <w:p w:rsidR="00486B39" w:rsidRPr="003F447B" w:rsidRDefault="00486B39" w:rsidP="002073EA">
            <w:pPr>
              <w:jc w:val="both"/>
              <w:rPr>
                <w:color w:val="000000" w:themeColor="text1"/>
              </w:rPr>
            </w:pPr>
          </w:p>
        </w:tc>
      </w:tr>
      <w:tr w:rsidR="00486B39" w:rsidRPr="003F447B" w:rsidTr="002073EA">
        <w:trPr>
          <w:trHeight w:val="227"/>
        </w:trPr>
        <w:tc>
          <w:tcPr>
            <w:tcW w:w="1733" w:type="pct"/>
            <w:vAlign w:val="center"/>
          </w:tcPr>
          <w:p w:rsidR="00486B39" w:rsidRPr="003F447B" w:rsidRDefault="00486B39" w:rsidP="002073EA">
            <w:pPr>
              <w:tabs>
                <w:tab w:val="left" w:pos="567"/>
              </w:tabs>
              <w:jc w:val="both"/>
              <w:rPr>
                <w:i/>
                <w:iCs/>
                <w:color w:val="000000" w:themeColor="text1"/>
              </w:rPr>
            </w:pPr>
            <w:r w:rsidRPr="003F447B">
              <w:rPr>
                <w:color w:val="000000" w:themeColor="text1"/>
              </w:rPr>
              <w:t>Colloquiums</w:t>
            </w:r>
          </w:p>
        </w:tc>
        <w:tc>
          <w:tcPr>
            <w:tcW w:w="938" w:type="pct"/>
            <w:vAlign w:val="center"/>
          </w:tcPr>
          <w:p w:rsidR="00486B39" w:rsidRPr="003F447B" w:rsidRDefault="00486B39" w:rsidP="002073EA">
            <w:pPr>
              <w:tabs>
                <w:tab w:val="left" w:pos="567"/>
              </w:tabs>
              <w:jc w:val="both"/>
              <w:rPr>
                <w:bCs/>
                <w:color w:val="000000" w:themeColor="text1"/>
              </w:rPr>
            </w:pPr>
          </w:p>
        </w:tc>
        <w:tc>
          <w:tcPr>
            <w:tcW w:w="1508" w:type="pct"/>
            <w:gridSpan w:val="2"/>
            <w:shd w:val="clear" w:color="auto" w:fill="auto"/>
          </w:tcPr>
          <w:p w:rsidR="00486B39" w:rsidRPr="003F447B" w:rsidRDefault="00486B39" w:rsidP="002073EA">
            <w:pPr>
              <w:jc w:val="both"/>
              <w:rPr>
                <w:color w:val="000000" w:themeColor="text1"/>
              </w:rPr>
            </w:pPr>
            <w:r w:rsidRPr="003F447B">
              <w:rPr>
                <w:color w:val="000000" w:themeColor="text1"/>
              </w:rPr>
              <w:t>oral exam</w:t>
            </w:r>
          </w:p>
        </w:tc>
        <w:tc>
          <w:tcPr>
            <w:tcW w:w="821" w:type="pct"/>
            <w:shd w:val="clear" w:color="auto" w:fill="auto"/>
          </w:tcPr>
          <w:p w:rsidR="00486B39" w:rsidRPr="003F447B" w:rsidRDefault="00486B39" w:rsidP="002073EA">
            <w:pPr>
              <w:jc w:val="both"/>
              <w:rPr>
                <w:color w:val="000000" w:themeColor="text1"/>
              </w:rPr>
            </w:pPr>
            <w:r w:rsidRPr="003F447B">
              <w:rPr>
                <w:color w:val="000000" w:themeColor="text1"/>
              </w:rPr>
              <w:t>70</w:t>
            </w:r>
          </w:p>
        </w:tc>
      </w:tr>
      <w:tr w:rsidR="00486B39" w:rsidRPr="003F447B" w:rsidTr="002073EA">
        <w:trPr>
          <w:trHeight w:val="227"/>
        </w:trPr>
        <w:tc>
          <w:tcPr>
            <w:tcW w:w="1733" w:type="pct"/>
            <w:vAlign w:val="center"/>
          </w:tcPr>
          <w:p w:rsidR="00486B39" w:rsidRPr="003F447B" w:rsidRDefault="00486B39" w:rsidP="002073EA">
            <w:pPr>
              <w:tabs>
                <w:tab w:val="left" w:pos="567"/>
              </w:tabs>
              <w:jc w:val="both"/>
              <w:rPr>
                <w:color w:val="000000" w:themeColor="text1"/>
              </w:rPr>
            </w:pPr>
            <w:r w:rsidRPr="003F447B">
              <w:rPr>
                <w:color w:val="000000" w:themeColor="text1"/>
              </w:rPr>
              <w:t>Seminars</w:t>
            </w:r>
          </w:p>
        </w:tc>
        <w:tc>
          <w:tcPr>
            <w:tcW w:w="938" w:type="pct"/>
            <w:vAlign w:val="center"/>
          </w:tcPr>
          <w:p w:rsidR="00486B39" w:rsidRPr="003F447B" w:rsidRDefault="00486B39" w:rsidP="002073EA">
            <w:pPr>
              <w:tabs>
                <w:tab w:val="left" w:pos="567"/>
              </w:tabs>
              <w:jc w:val="both"/>
              <w:rPr>
                <w:b/>
                <w:bCs/>
                <w:color w:val="000000" w:themeColor="text1"/>
              </w:rPr>
            </w:pPr>
          </w:p>
        </w:tc>
        <w:tc>
          <w:tcPr>
            <w:tcW w:w="1508" w:type="pct"/>
            <w:gridSpan w:val="2"/>
            <w:shd w:val="clear" w:color="auto" w:fill="auto"/>
            <w:vAlign w:val="center"/>
          </w:tcPr>
          <w:p w:rsidR="00486B39" w:rsidRPr="003F447B" w:rsidRDefault="00486B39" w:rsidP="002073EA">
            <w:pPr>
              <w:tabs>
                <w:tab w:val="left" w:pos="567"/>
              </w:tabs>
              <w:jc w:val="both"/>
              <w:rPr>
                <w:i/>
                <w:iCs/>
                <w:color w:val="000000" w:themeColor="text1"/>
              </w:rPr>
            </w:pPr>
          </w:p>
        </w:tc>
        <w:tc>
          <w:tcPr>
            <w:tcW w:w="821" w:type="pct"/>
            <w:shd w:val="clear" w:color="auto" w:fill="auto"/>
            <w:vAlign w:val="center"/>
          </w:tcPr>
          <w:p w:rsidR="00486B39" w:rsidRPr="003F447B" w:rsidRDefault="00486B39" w:rsidP="002073EA">
            <w:pPr>
              <w:tabs>
                <w:tab w:val="left" w:pos="567"/>
              </w:tabs>
              <w:jc w:val="both"/>
              <w:rPr>
                <w:i/>
                <w:iCs/>
                <w:color w:val="000000" w:themeColor="text1"/>
              </w:rPr>
            </w:pPr>
          </w:p>
        </w:tc>
      </w:tr>
    </w:tbl>
    <w:p w:rsidR="000E3C7B" w:rsidRPr="00486B39" w:rsidRDefault="000E3C7B" w:rsidP="00486B39">
      <w:bookmarkStart w:id="0" w:name="_GoBack"/>
      <w:bookmarkEnd w:id="0"/>
    </w:p>
    <w:sectPr w:rsidR="000E3C7B" w:rsidRPr="00486B39" w:rsidSect="00B25F64">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407"/>
    <w:multiLevelType w:val="hybridMultilevel"/>
    <w:tmpl w:val="BCB4C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8343E"/>
    <w:multiLevelType w:val="hybridMultilevel"/>
    <w:tmpl w:val="E1284796"/>
    <w:lvl w:ilvl="0" w:tplc="241A0001">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4C2F77DE"/>
    <w:multiLevelType w:val="hybridMultilevel"/>
    <w:tmpl w:val="82BCE974"/>
    <w:lvl w:ilvl="0" w:tplc="08090003">
      <w:start w:val="1"/>
      <w:numFmt w:val="bullet"/>
      <w:lvlText w:val="o"/>
      <w:lvlJc w:val="left"/>
      <w:pPr>
        <w:ind w:left="360" w:hanging="360"/>
      </w:pPr>
      <w:rPr>
        <w:rFonts w:ascii="Courier New" w:hAnsi="Courier New" w:cs="Courier New"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CDC64B3"/>
    <w:multiLevelType w:val="hybridMultilevel"/>
    <w:tmpl w:val="E474CAC0"/>
    <w:lvl w:ilvl="0" w:tplc="08090003">
      <w:start w:val="1"/>
      <w:numFmt w:val="bullet"/>
      <w:lvlText w:val="o"/>
      <w:lvlJc w:val="left"/>
      <w:pPr>
        <w:ind w:left="360" w:hanging="360"/>
      </w:pPr>
      <w:rPr>
        <w:rFonts w:ascii="Courier New" w:hAnsi="Courier New" w:cs="Courier New" w:hint="default"/>
        <w:b w:val="0"/>
      </w:r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4" w15:restartNumberingAfterBreak="0">
    <w:nsid w:val="5511458B"/>
    <w:multiLevelType w:val="hybridMultilevel"/>
    <w:tmpl w:val="6C34A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A2CAB"/>
    <w:multiLevelType w:val="hybridMultilevel"/>
    <w:tmpl w:val="CE6C8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B6A4F"/>
    <w:multiLevelType w:val="hybridMultilevel"/>
    <w:tmpl w:val="356E36D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ACD3E70"/>
    <w:multiLevelType w:val="hybridMultilevel"/>
    <w:tmpl w:val="2056CD10"/>
    <w:lvl w:ilvl="0" w:tplc="04090003">
      <w:start w:val="1"/>
      <w:numFmt w:val="bullet"/>
      <w:lvlText w:val="o"/>
      <w:lvlJc w:val="left"/>
      <w:pPr>
        <w:ind w:left="720" w:hanging="360"/>
      </w:pPr>
      <w:rPr>
        <w:rFonts w:ascii="Courier New" w:hAnsi="Courier New" w:cs="Courier New"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6A267473"/>
    <w:multiLevelType w:val="hybridMultilevel"/>
    <w:tmpl w:val="4484F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B6CE3"/>
    <w:multiLevelType w:val="hybridMultilevel"/>
    <w:tmpl w:val="40F8C3A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E80666A"/>
    <w:multiLevelType w:val="hybridMultilevel"/>
    <w:tmpl w:val="9EB8A2C8"/>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D77CF4"/>
    <w:multiLevelType w:val="hybridMultilevel"/>
    <w:tmpl w:val="BF6283A6"/>
    <w:lvl w:ilvl="0" w:tplc="04090003">
      <w:start w:val="1"/>
      <w:numFmt w:val="bullet"/>
      <w:lvlText w:val="o"/>
      <w:lvlJc w:val="left"/>
      <w:pPr>
        <w:ind w:left="720" w:hanging="360"/>
      </w:pPr>
      <w:rPr>
        <w:rFonts w:ascii="Courier New" w:hAnsi="Courier New" w:cs="Courier New" w:hint="default"/>
      </w:rPr>
    </w:lvl>
    <w:lvl w:ilvl="1" w:tplc="241A0019" w:tentative="1">
      <w:start w:val="1"/>
      <w:numFmt w:val="bullet"/>
      <w:lvlText w:val="o"/>
      <w:lvlJc w:val="left"/>
      <w:pPr>
        <w:ind w:left="1440" w:hanging="360"/>
      </w:pPr>
      <w:rPr>
        <w:rFonts w:ascii="Courier New" w:hAnsi="Courier New" w:cs="Courier New" w:hint="default"/>
      </w:rPr>
    </w:lvl>
    <w:lvl w:ilvl="2" w:tplc="241A001B" w:tentative="1">
      <w:start w:val="1"/>
      <w:numFmt w:val="bullet"/>
      <w:lvlText w:val=""/>
      <w:lvlJc w:val="left"/>
      <w:pPr>
        <w:ind w:left="2160" w:hanging="360"/>
      </w:pPr>
      <w:rPr>
        <w:rFonts w:ascii="Wingdings" w:hAnsi="Wingdings" w:hint="default"/>
      </w:rPr>
    </w:lvl>
    <w:lvl w:ilvl="3" w:tplc="241A000F" w:tentative="1">
      <w:start w:val="1"/>
      <w:numFmt w:val="bullet"/>
      <w:lvlText w:val=""/>
      <w:lvlJc w:val="left"/>
      <w:pPr>
        <w:ind w:left="2880" w:hanging="360"/>
      </w:pPr>
      <w:rPr>
        <w:rFonts w:ascii="Symbol" w:hAnsi="Symbol" w:hint="default"/>
      </w:rPr>
    </w:lvl>
    <w:lvl w:ilvl="4" w:tplc="241A0019" w:tentative="1">
      <w:start w:val="1"/>
      <w:numFmt w:val="bullet"/>
      <w:lvlText w:val="o"/>
      <w:lvlJc w:val="left"/>
      <w:pPr>
        <w:ind w:left="3600" w:hanging="360"/>
      </w:pPr>
      <w:rPr>
        <w:rFonts w:ascii="Courier New" w:hAnsi="Courier New" w:cs="Courier New" w:hint="default"/>
      </w:rPr>
    </w:lvl>
    <w:lvl w:ilvl="5" w:tplc="241A001B" w:tentative="1">
      <w:start w:val="1"/>
      <w:numFmt w:val="bullet"/>
      <w:lvlText w:val=""/>
      <w:lvlJc w:val="left"/>
      <w:pPr>
        <w:ind w:left="4320" w:hanging="360"/>
      </w:pPr>
      <w:rPr>
        <w:rFonts w:ascii="Wingdings" w:hAnsi="Wingdings" w:hint="default"/>
      </w:rPr>
    </w:lvl>
    <w:lvl w:ilvl="6" w:tplc="241A000F" w:tentative="1">
      <w:start w:val="1"/>
      <w:numFmt w:val="bullet"/>
      <w:lvlText w:val=""/>
      <w:lvlJc w:val="left"/>
      <w:pPr>
        <w:ind w:left="5040" w:hanging="360"/>
      </w:pPr>
      <w:rPr>
        <w:rFonts w:ascii="Symbol" w:hAnsi="Symbol" w:hint="default"/>
      </w:rPr>
    </w:lvl>
    <w:lvl w:ilvl="7" w:tplc="241A0019" w:tentative="1">
      <w:start w:val="1"/>
      <w:numFmt w:val="bullet"/>
      <w:lvlText w:val="o"/>
      <w:lvlJc w:val="left"/>
      <w:pPr>
        <w:ind w:left="5760" w:hanging="360"/>
      </w:pPr>
      <w:rPr>
        <w:rFonts w:ascii="Courier New" w:hAnsi="Courier New" w:cs="Courier New" w:hint="default"/>
      </w:rPr>
    </w:lvl>
    <w:lvl w:ilvl="8" w:tplc="241A001B"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11"/>
  </w:num>
  <w:num w:numId="6">
    <w:abstractNumId w:val="10"/>
  </w:num>
  <w:num w:numId="7">
    <w:abstractNumId w:val="5"/>
  </w:num>
  <w:num w:numId="8">
    <w:abstractNumId w:val="6"/>
  </w:num>
  <w:num w:numId="9">
    <w:abstractNumId w:val="8"/>
  </w:num>
  <w:num w:numId="10">
    <w:abstractNumId w:val="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1"/>
    <w:rsid w:val="0001563C"/>
    <w:rsid w:val="000C7439"/>
    <w:rsid w:val="000E3C7B"/>
    <w:rsid w:val="00104DE6"/>
    <w:rsid w:val="0016145C"/>
    <w:rsid w:val="001A4328"/>
    <w:rsid w:val="00205F50"/>
    <w:rsid w:val="0028797E"/>
    <w:rsid w:val="002B6012"/>
    <w:rsid w:val="00303E3D"/>
    <w:rsid w:val="0032394E"/>
    <w:rsid w:val="003A4849"/>
    <w:rsid w:val="003A67FD"/>
    <w:rsid w:val="003B3221"/>
    <w:rsid w:val="00417BA0"/>
    <w:rsid w:val="0043471F"/>
    <w:rsid w:val="00482710"/>
    <w:rsid w:val="00486B39"/>
    <w:rsid w:val="00494E80"/>
    <w:rsid w:val="00526620"/>
    <w:rsid w:val="005810C0"/>
    <w:rsid w:val="005E1B91"/>
    <w:rsid w:val="005E5F93"/>
    <w:rsid w:val="006067C8"/>
    <w:rsid w:val="0061279D"/>
    <w:rsid w:val="0061575A"/>
    <w:rsid w:val="00624C2A"/>
    <w:rsid w:val="006D2D0F"/>
    <w:rsid w:val="006E4A49"/>
    <w:rsid w:val="0072732A"/>
    <w:rsid w:val="00732A64"/>
    <w:rsid w:val="00770A10"/>
    <w:rsid w:val="007864C5"/>
    <w:rsid w:val="00804407"/>
    <w:rsid w:val="008F550E"/>
    <w:rsid w:val="00986612"/>
    <w:rsid w:val="009A2B82"/>
    <w:rsid w:val="009D4D54"/>
    <w:rsid w:val="00A36191"/>
    <w:rsid w:val="00A56160"/>
    <w:rsid w:val="00AF56B4"/>
    <w:rsid w:val="00B1057D"/>
    <w:rsid w:val="00B25F64"/>
    <w:rsid w:val="00BE3E95"/>
    <w:rsid w:val="00C47810"/>
    <w:rsid w:val="00D23F34"/>
    <w:rsid w:val="00D26ECF"/>
    <w:rsid w:val="00D41CAB"/>
    <w:rsid w:val="00D569B1"/>
    <w:rsid w:val="00D95E88"/>
    <w:rsid w:val="00E820BF"/>
    <w:rsid w:val="00F42105"/>
    <w:rsid w:val="00F92D6D"/>
    <w:rsid w:val="00FE6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12847-F251-421B-9E6F-692FBAA9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F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25F64"/>
    <w:pPr>
      <w:keepNext/>
      <w:keepLines/>
      <w:spacing w:before="360" w:after="80"/>
      <w:outlineLvl w:val="0"/>
    </w:pPr>
    <w:rPr>
      <w:rFonts w:asciiTheme="majorHAnsi" w:eastAsiaTheme="majorEastAsia" w:hAnsiTheme="majorHAnsi" w:cstheme="majorBidi"/>
      <w:color w:val="2E74B5" w:themeColor="accent1" w:themeShade="BF"/>
      <w:sz w:val="40"/>
      <w:szCs w:val="40"/>
      <w:lang w:val="sr-Latn-CS" w:eastAsia="sr-Latn-CS"/>
    </w:rPr>
  </w:style>
  <w:style w:type="paragraph" w:styleId="Heading2">
    <w:name w:val="heading 2"/>
    <w:basedOn w:val="Normal"/>
    <w:next w:val="Normal"/>
    <w:link w:val="Heading2Char"/>
    <w:uiPriority w:val="9"/>
    <w:unhideWhenUsed/>
    <w:qFormat/>
    <w:rsid w:val="00B25F64"/>
    <w:pPr>
      <w:keepNext/>
      <w:keepLines/>
      <w:spacing w:before="40"/>
      <w:outlineLvl w:val="1"/>
    </w:pPr>
    <w:rPr>
      <w:rFonts w:asciiTheme="majorHAnsi" w:eastAsiaTheme="majorEastAsia" w:hAnsiTheme="majorHAnsi" w:cstheme="majorBidi"/>
      <w:color w:val="2E74B5" w:themeColor="accent1" w:themeShade="BF"/>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F64"/>
    <w:rPr>
      <w:rFonts w:asciiTheme="majorHAnsi" w:eastAsiaTheme="majorEastAsia" w:hAnsiTheme="majorHAnsi" w:cstheme="majorBidi"/>
      <w:color w:val="2E74B5" w:themeColor="accent1" w:themeShade="BF"/>
      <w:sz w:val="40"/>
      <w:szCs w:val="40"/>
      <w:lang w:val="sr-Latn-CS" w:eastAsia="sr-Latn-CS"/>
    </w:rPr>
  </w:style>
  <w:style w:type="character" w:customStyle="1" w:styleId="Heading2Char">
    <w:name w:val="Heading 2 Char"/>
    <w:basedOn w:val="DefaultParagraphFont"/>
    <w:link w:val="Heading2"/>
    <w:uiPriority w:val="9"/>
    <w:rsid w:val="00B25F64"/>
    <w:rPr>
      <w:rFonts w:asciiTheme="majorHAnsi" w:eastAsiaTheme="majorEastAsia" w:hAnsiTheme="majorHAnsi" w:cstheme="majorBidi"/>
      <w:color w:val="2E74B5" w:themeColor="accent1" w:themeShade="BF"/>
      <w:sz w:val="26"/>
      <w:szCs w:val="26"/>
      <w:lang w:val="sr-Latn-CS" w:eastAsia="sr-Latn-CS"/>
    </w:rPr>
  </w:style>
  <w:style w:type="paragraph" w:customStyle="1" w:styleId="EMPTYCELLSTYLE">
    <w:name w:val="EMPTY_CELL_STYLE"/>
    <w:qFormat/>
    <w:rsid w:val="00B25F64"/>
    <w:pPr>
      <w:spacing w:after="0" w:line="240" w:lineRule="auto"/>
    </w:pPr>
    <w:rPr>
      <w:rFonts w:ascii="Times New Roman" w:eastAsia="Times New Roman" w:hAnsi="Times New Roman" w:cs="Times New Roman"/>
      <w:sz w:val="1"/>
      <w:szCs w:val="20"/>
    </w:rPr>
  </w:style>
  <w:style w:type="paragraph" w:styleId="BalloonText">
    <w:name w:val="Balloon Text"/>
    <w:basedOn w:val="Normal"/>
    <w:link w:val="BalloonTextChar"/>
    <w:uiPriority w:val="99"/>
    <w:semiHidden/>
    <w:unhideWhenUsed/>
    <w:rsid w:val="00B25F64"/>
    <w:rPr>
      <w:rFonts w:ascii="Tahoma" w:hAnsi="Tahoma" w:cs="Tahoma"/>
      <w:sz w:val="16"/>
      <w:szCs w:val="16"/>
    </w:rPr>
  </w:style>
  <w:style w:type="character" w:customStyle="1" w:styleId="BalloonTextChar">
    <w:name w:val="Balloon Text Char"/>
    <w:basedOn w:val="DefaultParagraphFont"/>
    <w:link w:val="BalloonText"/>
    <w:uiPriority w:val="99"/>
    <w:semiHidden/>
    <w:rsid w:val="00B25F64"/>
    <w:rPr>
      <w:rFonts w:ascii="Tahoma" w:eastAsia="Times New Roman" w:hAnsi="Tahoma" w:cs="Tahoma"/>
      <w:sz w:val="16"/>
      <w:szCs w:val="16"/>
    </w:rPr>
  </w:style>
  <w:style w:type="paragraph" w:styleId="Header">
    <w:name w:val="header"/>
    <w:basedOn w:val="Normal"/>
    <w:link w:val="HeaderChar"/>
    <w:uiPriority w:val="99"/>
    <w:semiHidden/>
    <w:unhideWhenUsed/>
    <w:rsid w:val="00B25F64"/>
    <w:pPr>
      <w:tabs>
        <w:tab w:val="center" w:pos="4680"/>
        <w:tab w:val="right" w:pos="9360"/>
      </w:tabs>
    </w:pPr>
  </w:style>
  <w:style w:type="character" w:customStyle="1" w:styleId="HeaderChar">
    <w:name w:val="Header Char"/>
    <w:basedOn w:val="DefaultParagraphFont"/>
    <w:link w:val="Header"/>
    <w:uiPriority w:val="99"/>
    <w:semiHidden/>
    <w:rsid w:val="00B25F64"/>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B25F64"/>
    <w:pPr>
      <w:tabs>
        <w:tab w:val="center" w:pos="4680"/>
        <w:tab w:val="right" w:pos="9360"/>
      </w:tabs>
    </w:pPr>
  </w:style>
  <w:style w:type="character" w:customStyle="1" w:styleId="FooterChar">
    <w:name w:val="Footer Char"/>
    <w:basedOn w:val="DefaultParagraphFont"/>
    <w:link w:val="Footer"/>
    <w:uiPriority w:val="99"/>
    <w:semiHidden/>
    <w:rsid w:val="00B25F64"/>
    <w:rPr>
      <w:rFonts w:ascii="Times New Roman" w:eastAsia="Times New Roman" w:hAnsi="Times New Roman" w:cs="Times New Roman"/>
      <w:sz w:val="20"/>
      <w:szCs w:val="20"/>
    </w:rPr>
  </w:style>
  <w:style w:type="paragraph" w:styleId="ListParagraph">
    <w:name w:val="List Paragraph"/>
    <w:basedOn w:val="Normal"/>
    <w:uiPriority w:val="34"/>
    <w:qFormat/>
    <w:rsid w:val="00B25F64"/>
    <w:pPr>
      <w:ind w:left="720"/>
      <w:contextualSpacing/>
    </w:pPr>
  </w:style>
  <w:style w:type="paragraph" w:styleId="NoSpacing">
    <w:name w:val="No Spacing"/>
    <w:uiPriority w:val="1"/>
    <w:qFormat/>
    <w:rsid w:val="00B25F64"/>
    <w:pPr>
      <w:spacing w:after="0" w:line="240" w:lineRule="auto"/>
    </w:pPr>
    <w:rPr>
      <w:rFonts w:ascii="Times New Roman" w:eastAsia="Times New Roman" w:hAnsi="Times New Roman" w:cs="Times New Roman"/>
      <w:sz w:val="24"/>
      <w:szCs w:val="24"/>
      <w:lang w:val="sr-Latn-CS" w:eastAsia="sr-Latn-CS"/>
    </w:rPr>
  </w:style>
  <w:style w:type="character" w:customStyle="1" w:styleId="H2Char">
    <w:name w:val="H2 Char"/>
    <w:link w:val="H2"/>
    <w:qFormat/>
    <w:rsid w:val="00B25F64"/>
    <w:rPr>
      <w:b/>
      <w:bCs/>
      <w:sz w:val="16"/>
      <w:szCs w:val="16"/>
      <w:lang w:val="sr-Cyrl-CS"/>
    </w:rPr>
  </w:style>
  <w:style w:type="paragraph" w:customStyle="1" w:styleId="H2">
    <w:name w:val="H2"/>
    <w:basedOn w:val="Heading2"/>
    <w:link w:val="H2Char"/>
    <w:qFormat/>
    <w:rsid w:val="00B25F64"/>
    <w:pPr>
      <w:widowControl w:val="0"/>
      <w:autoSpaceDE w:val="0"/>
      <w:autoSpaceDN w:val="0"/>
      <w:adjustRightInd w:val="0"/>
      <w:spacing w:before="0"/>
    </w:pPr>
    <w:rPr>
      <w:rFonts w:asciiTheme="minorHAnsi" w:eastAsiaTheme="minorHAnsi" w:hAnsiTheme="minorHAnsi" w:cstheme="minorBidi"/>
      <w:b/>
      <w:bCs/>
      <w:color w:val="auto"/>
      <w:sz w:val="16"/>
      <w:szCs w:val="16"/>
      <w:lang w:val="sr-Cyrl-CS" w:eastAsia="en-US"/>
    </w:rPr>
  </w:style>
  <w:style w:type="paragraph" w:customStyle="1" w:styleId="Default">
    <w:name w:val="Default"/>
    <w:rsid w:val="00B25F64"/>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fontstyle01">
    <w:name w:val="fontstyle01"/>
    <w:rsid w:val="00B25F64"/>
    <w:rPr>
      <w:rFonts w:ascii="Calibri" w:hAnsi="Calibri" w:cs="Calibri" w:hint="default"/>
      <w:b w:val="0"/>
      <w:bCs w:val="0"/>
      <w:i w:val="0"/>
      <w:iCs w:val="0"/>
      <w:color w:val="000000"/>
      <w:sz w:val="20"/>
      <w:szCs w:val="20"/>
    </w:rPr>
  </w:style>
  <w:style w:type="paragraph" w:customStyle="1" w:styleId="TableParagraph">
    <w:name w:val="Table Paragraph"/>
    <w:basedOn w:val="Normal"/>
    <w:uiPriority w:val="1"/>
    <w:qFormat/>
    <w:rsid w:val="00B25F64"/>
    <w:pPr>
      <w:widowControl w:val="0"/>
      <w:autoSpaceDE w:val="0"/>
      <w:autoSpaceDN w:val="0"/>
      <w:spacing w:line="228" w:lineRule="exact"/>
      <w:ind w:left="108"/>
    </w:pPr>
    <w:rPr>
      <w:sz w:val="22"/>
      <w:szCs w:val="22"/>
    </w:rPr>
  </w:style>
  <w:style w:type="paragraph" w:styleId="BodyTextIndent">
    <w:name w:val="Body Text Indent"/>
    <w:basedOn w:val="Normal"/>
    <w:link w:val="BodyTextIndentChar"/>
    <w:rsid w:val="00B25F64"/>
    <w:pPr>
      <w:spacing w:after="120"/>
      <w:ind w:left="283"/>
    </w:pPr>
    <w:rPr>
      <w:sz w:val="24"/>
      <w:szCs w:val="24"/>
    </w:rPr>
  </w:style>
  <w:style w:type="character" w:customStyle="1" w:styleId="BodyTextIndentChar">
    <w:name w:val="Body Text Indent Char"/>
    <w:basedOn w:val="DefaultParagraphFont"/>
    <w:link w:val="BodyTextIndent"/>
    <w:rsid w:val="00B25F64"/>
    <w:rPr>
      <w:rFonts w:ascii="Times New Roman" w:eastAsia="Times New Roman" w:hAnsi="Times New Roman" w:cs="Times New Roman"/>
      <w:sz w:val="24"/>
      <w:szCs w:val="24"/>
    </w:rPr>
  </w:style>
  <w:style w:type="character" w:customStyle="1" w:styleId="s8">
    <w:name w:val="s8"/>
    <w:basedOn w:val="DefaultParagraphFont"/>
    <w:rsid w:val="00B25F64"/>
  </w:style>
  <w:style w:type="character" w:customStyle="1" w:styleId="apple-converted-space">
    <w:name w:val="apple-converted-space"/>
    <w:basedOn w:val="DefaultParagraphFont"/>
    <w:rsid w:val="00B25F64"/>
  </w:style>
  <w:style w:type="paragraph" w:customStyle="1" w:styleId="s7">
    <w:name w:val="s7"/>
    <w:basedOn w:val="Normal"/>
    <w:rsid w:val="00B25F64"/>
    <w:pPr>
      <w:spacing w:before="100" w:beforeAutospacing="1" w:after="100" w:afterAutospacing="1"/>
    </w:pPr>
    <w:rPr>
      <w:sz w:val="24"/>
      <w:szCs w:val="24"/>
      <w:lang w:eastAsia="en-GB"/>
    </w:rPr>
  </w:style>
  <w:style w:type="character" w:customStyle="1" w:styleId="s10">
    <w:name w:val="s10"/>
    <w:basedOn w:val="DefaultParagraphFont"/>
    <w:rsid w:val="00B25F64"/>
  </w:style>
  <w:style w:type="paragraph" w:customStyle="1" w:styleId="s9">
    <w:name w:val="s9"/>
    <w:basedOn w:val="Normal"/>
    <w:rsid w:val="00B25F64"/>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B25F64"/>
    <w:rPr>
      <w:color w:val="0563C1" w:themeColor="hyperlink"/>
      <w:u w:val="single"/>
    </w:rPr>
  </w:style>
  <w:style w:type="paragraph" w:styleId="BodyText">
    <w:name w:val="Body Text"/>
    <w:basedOn w:val="Normal"/>
    <w:link w:val="BodyTextChar"/>
    <w:uiPriority w:val="99"/>
    <w:unhideWhenUsed/>
    <w:rsid w:val="00B25F64"/>
    <w:pPr>
      <w:widowControl w:val="0"/>
      <w:autoSpaceDE w:val="0"/>
      <w:autoSpaceDN w:val="0"/>
      <w:adjustRightInd w:val="0"/>
      <w:spacing w:after="120"/>
    </w:pPr>
    <w:rPr>
      <w:lang w:val="sr-Latn-CS" w:eastAsia="sr-Latn-CS"/>
    </w:rPr>
  </w:style>
  <w:style w:type="character" w:customStyle="1" w:styleId="BodyTextChar">
    <w:name w:val="Body Text Char"/>
    <w:basedOn w:val="DefaultParagraphFont"/>
    <w:link w:val="BodyText"/>
    <w:uiPriority w:val="99"/>
    <w:rsid w:val="00B25F64"/>
    <w:rPr>
      <w:rFonts w:ascii="Times New Roman" w:eastAsia="Times New Roman" w:hAnsi="Times New Roman" w:cs="Times New Roman"/>
      <w:sz w:val="20"/>
      <w:szCs w:val="20"/>
      <w:lang w:val="sr-Latn-CS" w:eastAsia="sr-Latn-CS"/>
    </w:rPr>
  </w:style>
  <w:style w:type="paragraph" w:styleId="NormalWeb">
    <w:name w:val="Normal (Web)"/>
    <w:basedOn w:val="Normal"/>
    <w:uiPriority w:val="99"/>
    <w:unhideWhenUsed/>
    <w:rsid w:val="00B25F64"/>
    <w:pPr>
      <w:spacing w:before="100" w:beforeAutospacing="1" w:after="100" w:afterAutospacing="1"/>
    </w:pPr>
    <w:rPr>
      <w:sz w:val="24"/>
      <w:szCs w:val="24"/>
    </w:rPr>
  </w:style>
  <w:style w:type="character" w:customStyle="1" w:styleId="q4iawc">
    <w:name w:val="q4iawc"/>
    <w:basedOn w:val="DefaultParagraphFont"/>
    <w:rsid w:val="00B25F64"/>
  </w:style>
  <w:style w:type="character" w:customStyle="1" w:styleId="delimiter">
    <w:name w:val="delimiter"/>
    <w:basedOn w:val="DefaultParagraphFont"/>
    <w:rsid w:val="00B2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Joksimovic</dc:creator>
  <cp:keywords/>
  <dc:description/>
  <cp:lastModifiedBy>Jovana Joksimovic</cp:lastModifiedBy>
  <cp:revision>2</cp:revision>
  <dcterms:created xsi:type="dcterms:W3CDTF">2024-09-05T16:56:00Z</dcterms:created>
  <dcterms:modified xsi:type="dcterms:W3CDTF">2024-09-05T16:56:00Z</dcterms:modified>
</cp:coreProperties>
</file>